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5CFC" w:rsidRPr="004708C7" w:rsidRDefault="00F45CFC" w:rsidP="00F45CFC">
      <w:pPr>
        <w:pStyle w:val="berschrift1"/>
        <w:spacing w:before="0" w:after="0" w:line="276" w:lineRule="auto"/>
        <w:jc w:val="left"/>
        <w:rPr>
          <w:lang w:val="fr-FR"/>
        </w:rPr>
      </w:pPr>
      <w:r w:rsidRPr="004708C7">
        <w:rPr>
          <w:lang w:val="fr-FR"/>
        </w:rPr>
        <w:t>Recyclage sur l’aéroport de Cologne/Bonn – la Wirtgen KMA 220 produit un matériau pour couche de base liée au liant hydraulique, selon le procédé de mélange en centrale</w:t>
      </w:r>
    </w:p>
    <w:p w:rsidR="00F45CFC" w:rsidRPr="004708C7" w:rsidRDefault="00F45CFC" w:rsidP="00F45CFC">
      <w:pPr>
        <w:pStyle w:val="Text"/>
        <w:rPr>
          <w:lang w:val="fr-FR"/>
        </w:rPr>
      </w:pPr>
    </w:p>
    <w:p w:rsidR="00F45CFC" w:rsidRPr="004708C7" w:rsidRDefault="00F45CFC" w:rsidP="00F45CFC">
      <w:pPr>
        <w:pStyle w:val="Text"/>
        <w:spacing w:line="276" w:lineRule="auto"/>
        <w:rPr>
          <w:noProof/>
          <w:lang w:val="fr-FR"/>
        </w:rPr>
      </w:pPr>
      <w:r w:rsidRPr="004708C7">
        <w:rPr>
          <w:rStyle w:val="Hervorhebung"/>
          <w:lang w:val="fr-FR"/>
        </w:rPr>
        <w:t>La centrale d’enrobage mobile de recyclage à froid Wirtgen KMA 220 permet de recycler ou de revaloriser les matériaux de construction routière pratiquement en tout lieu. Cette méthode évite d’innombrables trajets, tout en étant durable et respectueuse de l’environnement. Sans compter qu’elle est extrêmement rentable. C’est également ce qu’a illustré une mission effectuée fin 2017 sur le chantier de l’aéroport de Cologne/Bonn. Installée à proximité immédiate du chantier, la centrale a en effet produit en 6 jours</w:t>
      </w:r>
      <w:r w:rsidR="004708C7">
        <w:rPr>
          <w:rStyle w:val="Hervorhebung"/>
          <w:lang w:val="fr-FR"/>
        </w:rPr>
        <w:t>,</w:t>
      </w:r>
      <w:r w:rsidRPr="004708C7">
        <w:rPr>
          <w:rStyle w:val="Hervorhebung"/>
          <w:lang w:val="fr-FR"/>
        </w:rPr>
        <w:t xml:space="preserve"> environ 11 000 t de matériau pour couche de base liée au liant hydraulique, à partir d’un matériau préalablement</w:t>
      </w:r>
      <w:r w:rsidRPr="004708C7" w:rsidDel="008C6EF0">
        <w:rPr>
          <w:rStyle w:val="Hervorhebung"/>
          <w:lang w:val="fr-FR"/>
        </w:rPr>
        <w:t xml:space="preserve"> </w:t>
      </w:r>
      <w:r w:rsidR="004708C7">
        <w:rPr>
          <w:rStyle w:val="Hervorhebung"/>
          <w:lang w:val="fr-FR"/>
        </w:rPr>
        <w:t>recyclé</w:t>
      </w:r>
      <w:r w:rsidRPr="004708C7">
        <w:rPr>
          <w:rStyle w:val="Hervorhebung"/>
          <w:lang w:val="fr-FR"/>
        </w:rPr>
        <w:t xml:space="preserve"> sur place, d’eau et de ciment, selon le procédé de mélange en centrale.</w:t>
      </w:r>
    </w:p>
    <w:p w:rsidR="00F45CFC" w:rsidRPr="004708C7" w:rsidRDefault="00F45CFC" w:rsidP="00F45CFC">
      <w:pPr>
        <w:pStyle w:val="Text"/>
        <w:spacing w:line="276" w:lineRule="auto"/>
        <w:rPr>
          <w:noProof/>
          <w:lang w:val="fr-FR" w:eastAsia="de-DE"/>
        </w:rPr>
      </w:pPr>
    </w:p>
    <w:p w:rsidR="00F45CFC" w:rsidRPr="004708C7" w:rsidRDefault="00F45CFC" w:rsidP="00F45CFC">
      <w:pPr>
        <w:pStyle w:val="Text"/>
        <w:spacing w:line="276" w:lineRule="auto"/>
        <w:rPr>
          <w:rStyle w:val="Hervorhebung"/>
          <w:b w:val="0"/>
          <w:lang w:val="fr-FR"/>
        </w:rPr>
      </w:pPr>
      <w:r w:rsidRPr="004708C7">
        <w:rPr>
          <w:rStyle w:val="Hervorhebung"/>
          <w:b w:val="0"/>
          <w:lang w:val="fr-FR"/>
        </w:rPr>
        <w:t xml:space="preserve">Depuis 2015, les pistes, le tarmac et le réseau de drainage de l’aéroport de Cologne/Bonn sont en cours de réfection. </w:t>
      </w:r>
      <w:r w:rsidR="004708C7">
        <w:rPr>
          <w:rStyle w:val="Hervorhebung"/>
          <w:b w:val="0"/>
          <w:lang w:val="fr-FR"/>
        </w:rPr>
        <w:t>C</w:t>
      </w:r>
      <w:r w:rsidRPr="004708C7">
        <w:rPr>
          <w:rStyle w:val="Hervorhebung"/>
          <w:b w:val="0"/>
          <w:lang w:val="fr-FR"/>
        </w:rPr>
        <w:t>e projet s’étend sur plusieurs années, étape par étape, sans jamais interrompre l’exploitation de l’aéroport. Dans le cadre de la réfection du réseau de drainage, le corps de chaussée non lié ainsi que certaines parties de la couche de forme ont également été rénovés à certains endroits.</w:t>
      </w:r>
    </w:p>
    <w:p w:rsidR="00F45CFC" w:rsidRPr="004708C7" w:rsidRDefault="00F45CFC" w:rsidP="00F45CFC">
      <w:pPr>
        <w:pStyle w:val="Text"/>
        <w:spacing w:line="276" w:lineRule="auto"/>
        <w:rPr>
          <w:rStyle w:val="Hervorhebung"/>
          <w:b w:val="0"/>
          <w:lang w:val="fr-FR"/>
        </w:rPr>
      </w:pPr>
    </w:p>
    <w:p w:rsidR="00F45CFC" w:rsidRPr="004708C7" w:rsidRDefault="00F45CFC" w:rsidP="00F45CFC">
      <w:pPr>
        <w:pStyle w:val="Text"/>
        <w:spacing w:line="276" w:lineRule="auto"/>
        <w:rPr>
          <w:rStyle w:val="Hervorhebung"/>
          <w:lang w:val="fr-FR"/>
        </w:rPr>
      </w:pPr>
      <w:r w:rsidRPr="004708C7">
        <w:rPr>
          <w:rStyle w:val="Hervorhebung"/>
          <w:lang w:val="fr-FR"/>
        </w:rPr>
        <w:t>Flexibilité sur site et souplesse de formulation</w:t>
      </w:r>
    </w:p>
    <w:p w:rsidR="00F45CFC" w:rsidRPr="004708C7" w:rsidRDefault="00F45CFC" w:rsidP="00F45CFC">
      <w:pPr>
        <w:pStyle w:val="Text"/>
        <w:spacing w:line="276" w:lineRule="auto"/>
        <w:rPr>
          <w:rStyle w:val="Hervorhebung"/>
          <w:b w:val="0"/>
          <w:lang w:val="fr-FR"/>
        </w:rPr>
      </w:pPr>
      <w:r w:rsidRPr="004708C7">
        <w:rPr>
          <w:rStyle w:val="Hervorhebung"/>
          <w:b w:val="0"/>
          <w:lang w:val="fr-FR"/>
        </w:rPr>
        <w:t xml:space="preserve">Alexander Weber, de l’entreprise SAT </w:t>
      </w:r>
      <w:proofErr w:type="spellStart"/>
      <w:r w:rsidRPr="004708C7">
        <w:rPr>
          <w:rStyle w:val="Hervorhebung"/>
          <w:b w:val="0"/>
          <w:lang w:val="fr-FR"/>
        </w:rPr>
        <w:t>Straßensanierung</w:t>
      </w:r>
      <w:proofErr w:type="spellEnd"/>
      <w:r w:rsidRPr="004708C7">
        <w:rPr>
          <w:rStyle w:val="Hervorhebung"/>
          <w:b w:val="0"/>
          <w:lang w:val="fr-FR"/>
        </w:rPr>
        <w:t xml:space="preserve"> GmbH, a coordonné la mise en œuvre de la centrale mobile KMA 220. « Nous utilisons cette centrale d’enrobage à froid sur des projets dans toute l’Allemagne. Ainsi, au cours des trois derniers mois, elle a d’abord été à Munich, pour être transférée en Rhénanie et enfin rejoindre deux différents sites du Hunsrück. Cela fonctionne très bien, car cette centrale est facile à transporter et ne demande que très peu de temps de préparation. »</w:t>
      </w:r>
    </w:p>
    <w:p w:rsidR="00F45CFC" w:rsidRPr="004708C7" w:rsidRDefault="00F45CFC" w:rsidP="00F45CFC">
      <w:pPr>
        <w:pStyle w:val="Text"/>
        <w:spacing w:line="276" w:lineRule="auto"/>
        <w:rPr>
          <w:rStyle w:val="Hervorhebung"/>
          <w:b w:val="0"/>
          <w:lang w:val="fr-FR"/>
        </w:rPr>
      </w:pPr>
    </w:p>
    <w:p w:rsidR="00F45CFC" w:rsidRPr="004708C7" w:rsidRDefault="004708C7" w:rsidP="00F45CFC">
      <w:pPr>
        <w:pStyle w:val="Text"/>
        <w:spacing w:line="276" w:lineRule="auto"/>
        <w:rPr>
          <w:rStyle w:val="Hervorhebung"/>
          <w:b w:val="0"/>
          <w:lang w:val="fr-FR"/>
        </w:rPr>
      </w:pPr>
      <w:r w:rsidRPr="004708C7">
        <w:rPr>
          <w:lang w:val="fr-FR"/>
        </w:rPr>
        <w:t>Un nouvel emplacement implique généralement un changement de formulation, de matériau minéral et de liant</w:t>
      </w:r>
      <w:r w:rsidR="00F45CFC" w:rsidRPr="004708C7">
        <w:rPr>
          <w:rStyle w:val="Hervorhebung"/>
          <w:b w:val="0"/>
          <w:lang w:val="fr-FR"/>
        </w:rPr>
        <w:t xml:space="preserve">. Aucun problème pour Alexander Weber, puisque la KMA 220 peut produire, dans le respect de l’environnement, les enrobés les plus divers à partir de matériaux minéraux neufs, </w:t>
      </w:r>
      <w:proofErr w:type="spellStart"/>
      <w:r w:rsidR="00F45CFC" w:rsidRPr="004708C7">
        <w:rPr>
          <w:rStyle w:val="Hervorhebung"/>
          <w:b w:val="0"/>
          <w:lang w:val="fr-FR"/>
        </w:rPr>
        <w:t>fraisat</w:t>
      </w:r>
      <w:proofErr w:type="spellEnd"/>
      <w:r w:rsidR="00F45CFC" w:rsidRPr="004708C7">
        <w:rPr>
          <w:rStyle w:val="Hervorhebung"/>
          <w:b w:val="0"/>
          <w:lang w:val="fr-FR"/>
        </w:rPr>
        <w:t xml:space="preserve"> ou autres matériaux récupérés de corps de chaussée. À titre de liant, on peut incorporer dans la centrale du ciment, de l’émulsion de bitume ou encore de la mousse de bitume. </w:t>
      </w:r>
    </w:p>
    <w:p w:rsidR="00F45CFC" w:rsidRPr="004708C7" w:rsidRDefault="00F45CFC" w:rsidP="00F45CFC">
      <w:pPr>
        <w:pStyle w:val="Text"/>
        <w:spacing w:line="276" w:lineRule="auto"/>
        <w:rPr>
          <w:rStyle w:val="Hervorhebung"/>
          <w:b w:val="0"/>
          <w:lang w:val="fr-FR"/>
        </w:rPr>
      </w:pPr>
    </w:p>
    <w:p w:rsidR="00F45CFC" w:rsidRPr="004708C7" w:rsidRDefault="00F45CFC" w:rsidP="00F45CFC">
      <w:pPr>
        <w:rPr>
          <w:rStyle w:val="Hervorhebung"/>
          <w:sz w:val="22"/>
        </w:rPr>
      </w:pPr>
      <w:r w:rsidRPr="004708C7">
        <w:rPr>
          <w:rStyle w:val="Hervorhebung"/>
        </w:rPr>
        <w:br w:type="page"/>
      </w:r>
    </w:p>
    <w:p w:rsidR="00F45CFC" w:rsidRPr="004708C7" w:rsidRDefault="00F45CFC" w:rsidP="00F45CFC">
      <w:pPr>
        <w:pStyle w:val="Text"/>
        <w:spacing w:line="276" w:lineRule="auto"/>
        <w:rPr>
          <w:rStyle w:val="Hervorhebung"/>
          <w:lang w:val="fr-FR"/>
        </w:rPr>
      </w:pPr>
      <w:r w:rsidRPr="004708C7">
        <w:rPr>
          <w:rStyle w:val="Hervorhebung"/>
          <w:lang w:val="fr-FR"/>
        </w:rPr>
        <w:lastRenderedPageBreak/>
        <w:t>Des temps de préparation courts pour une rentabilité assurée</w:t>
      </w:r>
    </w:p>
    <w:p w:rsidR="00F45CFC" w:rsidRPr="004708C7" w:rsidRDefault="004708C7" w:rsidP="00F45CFC">
      <w:pPr>
        <w:pStyle w:val="Text"/>
        <w:spacing w:line="276" w:lineRule="auto"/>
        <w:rPr>
          <w:rStyle w:val="Hervorhebung"/>
          <w:b w:val="0"/>
          <w:lang w:val="fr-FR"/>
        </w:rPr>
      </w:pPr>
      <w:bookmarkStart w:id="0" w:name="_Hlk506556840"/>
      <w:r w:rsidRPr="004708C7">
        <w:rPr>
          <w:lang w:val="fr-FR"/>
        </w:rPr>
        <w:t>Dès la phase de conception, deux facteurs déterminants pour la rentabilité ont été pris en compte : la rapidité et la simplicité de transport de la centrale</w:t>
      </w:r>
      <w:bookmarkEnd w:id="0"/>
      <w:r w:rsidRPr="004708C7">
        <w:rPr>
          <w:lang w:val="fr-FR"/>
        </w:rPr>
        <w:t>. </w:t>
      </w:r>
      <w:r w:rsidRPr="004708C7">
        <w:rPr>
          <w:rStyle w:val="Hervorhebung"/>
          <w:rFonts w:ascii="Verdana" w:hAnsi="Verdana"/>
          <w:b w:val="0"/>
          <w:lang w:val="fr-FR"/>
        </w:rPr>
        <w:t>Ainsi, les dimensions de transport de la centrale respectent les réglementations internationales de circulation routière.</w:t>
      </w:r>
      <w:r w:rsidRPr="004708C7">
        <w:rPr>
          <w:rStyle w:val="Hervorhebung"/>
          <w:rFonts w:ascii="Verdana" w:hAnsi="Verdana"/>
          <w:lang w:val="fr-FR"/>
        </w:rPr>
        <w:t> </w:t>
      </w:r>
      <w:r>
        <w:rPr>
          <w:rStyle w:val="Hervorhebung"/>
          <w:b w:val="0"/>
          <w:lang w:val="fr-FR"/>
        </w:rPr>
        <w:t>De plus</w:t>
      </w:r>
      <w:r w:rsidR="00F45CFC" w:rsidRPr="004708C7">
        <w:rPr>
          <w:rStyle w:val="Hervorhebung"/>
          <w:b w:val="0"/>
          <w:lang w:val="fr-FR"/>
        </w:rPr>
        <w:t xml:space="preserve">, les travaux de montage et de démontage sont extrêmement simples car ils ne requièrent aucun outil particulier ni aucune fondation. </w:t>
      </w:r>
    </w:p>
    <w:p w:rsidR="00F45CFC" w:rsidRPr="004708C7" w:rsidRDefault="00F45CFC" w:rsidP="00F45CFC">
      <w:pPr>
        <w:pStyle w:val="Text"/>
        <w:spacing w:line="276" w:lineRule="auto"/>
        <w:rPr>
          <w:rStyle w:val="Hervorhebung"/>
          <w:b w:val="0"/>
          <w:lang w:val="fr-FR"/>
        </w:rPr>
      </w:pPr>
    </w:p>
    <w:p w:rsidR="00F45CFC" w:rsidRPr="004708C7" w:rsidRDefault="00F45CFC" w:rsidP="00F45CFC">
      <w:pPr>
        <w:pStyle w:val="Text"/>
        <w:spacing w:line="276" w:lineRule="auto"/>
        <w:rPr>
          <w:rStyle w:val="Hervorhebung"/>
          <w:b w:val="0"/>
          <w:lang w:val="fr-FR"/>
        </w:rPr>
      </w:pPr>
      <w:r w:rsidRPr="004708C7">
        <w:rPr>
          <w:rStyle w:val="Hervorhebung"/>
          <w:b w:val="0"/>
          <w:lang w:val="fr-FR"/>
        </w:rPr>
        <w:t>Plus précisément, c’est une combinaison d’appuis fixes et hydrauliques qui assure la stabilité de la centrale. Les composants supplémentaires tels que les réservoirs d’eau ou d’émulsion, ainsi que la vis d’alimentation du ciment peuvent être placés des deux côtés de la centrale. Et enfin, la bande de déversement pivote largement à gauche comme à droite. En somme, la centrale permet une grande flexibilité lors du choix du site.</w:t>
      </w:r>
    </w:p>
    <w:p w:rsidR="00F45CFC" w:rsidRPr="004708C7" w:rsidRDefault="00F45CFC" w:rsidP="00F45CFC">
      <w:pPr>
        <w:pStyle w:val="Text"/>
        <w:spacing w:line="276" w:lineRule="auto"/>
        <w:rPr>
          <w:rStyle w:val="Hervorhebung"/>
          <w:b w:val="0"/>
          <w:lang w:val="fr-FR"/>
        </w:rPr>
      </w:pPr>
    </w:p>
    <w:p w:rsidR="00F45CFC" w:rsidRPr="004708C7" w:rsidRDefault="00F45CFC" w:rsidP="00F45CFC">
      <w:pPr>
        <w:pStyle w:val="Text"/>
        <w:spacing w:line="276" w:lineRule="auto"/>
        <w:rPr>
          <w:rStyle w:val="Hervorhebung"/>
          <w:lang w:val="fr-FR"/>
        </w:rPr>
      </w:pPr>
      <w:r w:rsidRPr="004708C7">
        <w:rPr>
          <w:rStyle w:val="Hervorhebung"/>
          <w:lang w:val="fr-FR"/>
        </w:rPr>
        <w:t xml:space="preserve">Satisfaction totale depuis plus de 15 ans </w:t>
      </w:r>
    </w:p>
    <w:p w:rsidR="00F45CFC" w:rsidRPr="004708C7" w:rsidRDefault="00F45CFC" w:rsidP="00F45CFC">
      <w:pPr>
        <w:pStyle w:val="Text"/>
        <w:spacing w:line="276" w:lineRule="auto"/>
        <w:rPr>
          <w:rStyle w:val="Hervorhebung"/>
          <w:b w:val="0"/>
          <w:lang w:val="fr-FR"/>
        </w:rPr>
      </w:pPr>
      <w:r w:rsidRPr="004708C7">
        <w:rPr>
          <w:rStyle w:val="Hervorhebung"/>
          <w:b w:val="0"/>
          <w:lang w:val="fr-FR"/>
        </w:rPr>
        <w:t xml:space="preserve">Chez SAT, </w:t>
      </w:r>
      <w:proofErr w:type="spellStart"/>
      <w:r w:rsidRPr="004708C7">
        <w:rPr>
          <w:rStyle w:val="Hervorhebung"/>
          <w:b w:val="0"/>
          <w:lang w:val="fr-FR"/>
        </w:rPr>
        <w:t>Volkmar</w:t>
      </w:r>
      <w:proofErr w:type="spellEnd"/>
      <w:r w:rsidRPr="004708C7">
        <w:rPr>
          <w:rStyle w:val="Hervorhebung"/>
          <w:b w:val="0"/>
          <w:lang w:val="fr-FR"/>
        </w:rPr>
        <w:t xml:space="preserve"> Gogol est chargé de l’installation et de la mise en service de la KMA 220. Il travaille depuis 1990 avec les centrales d’enrobage à froid de Wirtgen. « J’ai d’abord travaillé avec la KMA 150, puis avec le modèle suivant, la KMA 200, pour travailler maintenant avec la KMA 220. Au fil des ans, ces centrales ont fait l’objet d’optimisations permanentes qui les ont rendues de plus en plus performantes. Aujourd’hui, avec la KMA 220, j’atteins des rendements de malaxage de 150 à 220 t par heure, indépendamment du matériau et de la formulation, ce qui permet d’obtenir jusqu’à 2 000 t en une journée de travail », explique cet utilisateur expérimenté.</w:t>
      </w:r>
    </w:p>
    <w:p w:rsidR="00F45CFC" w:rsidRPr="004708C7" w:rsidRDefault="00F45CFC" w:rsidP="00F45CFC">
      <w:pPr>
        <w:pStyle w:val="Text"/>
        <w:spacing w:line="276" w:lineRule="auto"/>
        <w:rPr>
          <w:rStyle w:val="Hervorhebung"/>
          <w:b w:val="0"/>
          <w:lang w:val="fr-FR"/>
        </w:rPr>
      </w:pPr>
    </w:p>
    <w:p w:rsidR="00F45CFC" w:rsidRPr="004708C7" w:rsidRDefault="00F45CFC" w:rsidP="00F45CFC">
      <w:pPr>
        <w:pStyle w:val="Text"/>
        <w:spacing w:line="276" w:lineRule="auto"/>
        <w:rPr>
          <w:rStyle w:val="Hervorhebung"/>
          <w:lang w:val="fr-FR"/>
        </w:rPr>
      </w:pPr>
      <w:r w:rsidRPr="004708C7">
        <w:rPr>
          <w:rStyle w:val="Hervorhebung"/>
          <w:lang w:val="fr-FR"/>
        </w:rPr>
        <w:t>Des trajets courts pour une production, en 6 jours, de 11 000 t de matériau pour couche de base liée au liant hydraulique</w:t>
      </w:r>
    </w:p>
    <w:p w:rsidR="00F45CFC" w:rsidRPr="004708C7" w:rsidRDefault="00F45CFC" w:rsidP="00F45CFC">
      <w:pPr>
        <w:pStyle w:val="Text"/>
        <w:spacing w:line="276" w:lineRule="auto"/>
        <w:rPr>
          <w:rStyle w:val="Hervorhebung"/>
          <w:b w:val="0"/>
          <w:lang w:val="fr-FR"/>
        </w:rPr>
      </w:pPr>
      <w:r w:rsidRPr="004708C7">
        <w:rPr>
          <w:rStyle w:val="Hervorhebung"/>
          <w:b w:val="0"/>
          <w:lang w:val="fr-FR"/>
        </w:rPr>
        <w:t xml:space="preserve">Sur le chantier de l’aéroport de Cologne/Bonn, la centrale d’enrobage mobile KMA 220 a </w:t>
      </w:r>
      <w:r w:rsidR="004708C7">
        <w:rPr>
          <w:rStyle w:val="Hervorhebung"/>
          <w:b w:val="0"/>
          <w:lang w:val="fr-FR"/>
        </w:rPr>
        <w:t>traité</w:t>
      </w:r>
      <w:r w:rsidRPr="004708C7">
        <w:rPr>
          <w:rStyle w:val="Hervorhebung"/>
          <w:b w:val="0"/>
          <w:lang w:val="fr-FR"/>
        </w:rPr>
        <w:t xml:space="preserve"> sur place, en 6 jours, près de 11 000 t de matériau recyclé pour produire la couche de base liée au liant hydraulique destinée à une vaste superficie d’environ 60 m x 600 m sur le tarmac. Concrètement, il s’agissait de </w:t>
      </w:r>
      <w:proofErr w:type="spellStart"/>
      <w:r w:rsidRPr="004708C7">
        <w:rPr>
          <w:rStyle w:val="Hervorhebung"/>
          <w:b w:val="0"/>
          <w:lang w:val="fr-FR"/>
        </w:rPr>
        <w:t>fraisat</w:t>
      </w:r>
      <w:proofErr w:type="spellEnd"/>
      <w:r w:rsidRPr="004708C7">
        <w:rPr>
          <w:rStyle w:val="Hervorhebung"/>
          <w:b w:val="0"/>
          <w:lang w:val="fr-FR"/>
        </w:rPr>
        <w:t xml:space="preserve"> d’enrobé récupéré sur différents chantiers de la région et de fragments d’une couche de base liée au liant hydraulique provenant d’un chantier voisin de l’aéroport. Pour atteindre les valeurs de résistance requises, le matériau de construction récupéré a été enrichi de 4,4 % de ciment Portland 32,5 R et 1,2 % d’eau. En tout, 6 camions ont acheminé le matériau de construction, effectuant des allers-retours directs entre la KMA 220 et le chantier distant d’environ 400 m.</w:t>
      </w:r>
    </w:p>
    <w:p w:rsidR="00F45CFC" w:rsidRPr="004708C7" w:rsidRDefault="00F45CFC" w:rsidP="00F45CFC">
      <w:pPr>
        <w:pStyle w:val="Text"/>
        <w:spacing w:line="276" w:lineRule="auto"/>
        <w:rPr>
          <w:rStyle w:val="Hervorhebung"/>
          <w:b w:val="0"/>
          <w:lang w:val="fr-FR"/>
        </w:rPr>
      </w:pPr>
    </w:p>
    <w:p w:rsidR="00F45CFC" w:rsidRPr="004708C7" w:rsidRDefault="00F45CFC" w:rsidP="00F45CFC">
      <w:pPr>
        <w:rPr>
          <w:rStyle w:val="Hervorhebung"/>
          <w:b w:val="0"/>
          <w:sz w:val="22"/>
        </w:rPr>
      </w:pPr>
      <w:r w:rsidRPr="004708C7">
        <w:rPr>
          <w:rStyle w:val="Hervorhebung"/>
          <w:b w:val="0"/>
        </w:rPr>
        <w:br w:type="page"/>
      </w:r>
    </w:p>
    <w:p w:rsidR="00F45CFC" w:rsidRPr="004708C7" w:rsidRDefault="00F45CFC" w:rsidP="00F45CFC">
      <w:pPr>
        <w:pStyle w:val="Text"/>
        <w:spacing w:line="276" w:lineRule="auto"/>
        <w:rPr>
          <w:rStyle w:val="Hervorhebung"/>
          <w:b w:val="0"/>
          <w:lang w:val="fr-FR"/>
        </w:rPr>
      </w:pPr>
      <w:r w:rsidRPr="004708C7">
        <w:rPr>
          <w:rStyle w:val="Hervorhebung"/>
          <w:b w:val="0"/>
          <w:lang w:val="fr-FR"/>
        </w:rPr>
        <w:lastRenderedPageBreak/>
        <w:t>La KMA 220 est dotée d’une technologie de mesure et de régulation éprouvée qui assure le respect de la formulation. Ainsi, le matériau minéral est pesé sur une bande peseuse, et acheminé en continu dans le malaxeur. Les quantités d’eau et de liant requises sont calculées en fonction du poids du matériau minéral par un système de commande à microprocesseurs conformément à la formulation voulue, puis ajoutées et dosées par l’intermédiaire d’une pompe et d’un débitmètre avec une extrême précision. L’adjonction s’effectue immédiatement dans un malaxeur à mélange forcé à deux arbres dans lequel les ailettes de malaxage en métal dur résistant à l’usure mélangent soigneusement tous les composants. Le résultat est une véritable réussite : même après 3 500 heures de service, la KMA 220 continue de mélanger les matériaux de construction selon les instructions de l’essai d’aptitude.</w:t>
      </w:r>
    </w:p>
    <w:p w:rsidR="00F45CFC" w:rsidRPr="004708C7" w:rsidRDefault="00F45CFC" w:rsidP="00F45CFC">
      <w:pPr>
        <w:pStyle w:val="Text"/>
        <w:spacing w:line="276" w:lineRule="auto"/>
        <w:rPr>
          <w:rStyle w:val="Hervorhebung"/>
          <w:b w:val="0"/>
          <w:lang w:val="fr-FR"/>
        </w:rPr>
      </w:pPr>
    </w:p>
    <w:p w:rsidR="00F45CFC" w:rsidRPr="004708C7" w:rsidRDefault="00F45CFC" w:rsidP="00F45CFC">
      <w:pPr>
        <w:pStyle w:val="Text"/>
        <w:spacing w:line="276" w:lineRule="auto"/>
        <w:rPr>
          <w:rStyle w:val="Hervorhebung"/>
          <w:lang w:val="fr-FR"/>
        </w:rPr>
      </w:pPr>
      <w:r w:rsidRPr="004708C7">
        <w:rPr>
          <w:rStyle w:val="Hervorhebung"/>
          <w:lang w:val="fr-FR"/>
        </w:rPr>
        <w:t>Un « marathonien » économe</w:t>
      </w:r>
    </w:p>
    <w:p w:rsidR="00F45CFC" w:rsidRPr="004708C7" w:rsidRDefault="00F45CFC" w:rsidP="00F45CFC">
      <w:pPr>
        <w:pStyle w:val="Text"/>
        <w:spacing w:line="276" w:lineRule="auto"/>
        <w:rPr>
          <w:rStyle w:val="Hervorhebung"/>
          <w:b w:val="0"/>
          <w:lang w:val="fr-FR"/>
        </w:rPr>
      </w:pPr>
      <w:r w:rsidRPr="004708C7">
        <w:rPr>
          <w:rStyle w:val="Hervorhebung"/>
          <w:b w:val="0"/>
          <w:lang w:val="fr-FR"/>
        </w:rPr>
        <w:t>Le malaxeur est à entraînement hydraulique, comme tous les composants de la KMA 220. Les pompes hydrauliques, quant à elles, sont entraînées par un puissant moteur diesel de 129 kW (176 </w:t>
      </w:r>
      <w:proofErr w:type="spellStart"/>
      <w:r w:rsidRPr="004708C7">
        <w:rPr>
          <w:rStyle w:val="Hervorhebung"/>
          <w:b w:val="0"/>
          <w:lang w:val="fr-FR"/>
        </w:rPr>
        <w:t>ch</w:t>
      </w:r>
      <w:proofErr w:type="spellEnd"/>
      <w:r w:rsidRPr="004708C7">
        <w:rPr>
          <w:rStyle w:val="Hervorhebung"/>
          <w:b w:val="0"/>
          <w:lang w:val="fr-FR"/>
        </w:rPr>
        <w:t xml:space="preserve">). Ce groupe est extrêmement économe : « Il suffit de faire le plein du réservoir pour assurer une durée de malaxage de 10 à 15 heures », explique </w:t>
      </w:r>
      <w:proofErr w:type="spellStart"/>
      <w:r w:rsidRPr="004708C7">
        <w:rPr>
          <w:rStyle w:val="Hervorhebung"/>
          <w:b w:val="0"/>
          <w:lang w:val="fr-FR"/>
        </w:rPr>
        <w:t>Volkmar</w:t>
      </w:r>
      <w:proofErr w:type="spellEnd"/>
      <w:r w:rsidRPr="004708C7">
        <w:rPr>
          <w:rStyle w:val="Hervorhebung"/>
          <w:b w:val="0"/>
          <w:lang w:val="fr-FR"/>
        </w:rPr>
        <w:t xml:space="preserve"> Gogol. La taille du réservoir d’eau est convaincante : sa capacité de 4 500 l permet d’assurer la fiabilité de l’approvisionnement en eau, même pendant le changement du camion-citerne. </w:t>
      </w:r>
    </w:p>
    <w:p w:rsidR="00F45CFC" w:rsidRPr="004708C7" w:rsidRDefault="00F45CFC" w:rsidP="00F45CFC">
      <w:pPr>
        <w:pStyle w:val="Text"/>
        <w:rPr>
          <w:rStyle w:val="Hervorhebung"/>
          <w:lang w:val="fr-FR"/>
        </w:rPr>
      </w:pPr>
    </w:p>
    <w:p w:rsidR="00F45CFC" w:rsidRPr="004708C7" w:rsidRDefault="00F45CFC" w:rsidP="00F45CFC">
      <w:pPr>
        <w:pStyle w:val="Text"/>
        <w:rPr>
          <w:rStyle w:val="Hervorhebung"/>
          <w:b w:val="0"/>
          <w:lang w:val="fr-FR"/>
        </w:rPr>
      </w:pPr>
      <w:r w:rsidRPr="004708C7">
        <w:rPr>
          <w:rStyle w:val="Hervorhebung"/>
          <w:lang w:val="fr-FR"/>
        </w:rPr>
        <w:t>Compactage par compacteur monocylindre Hamm</w:t>
      </w:r>
    </w:p>
    <w:p w:rsidR="00F45CFC" w:rsidRPr="004708C7" w:rsidRDefault="004708C7" w:rsidP="00F45CFC">
      <w:pPr>
        <w:pStyle w:val="Text"/>
        <w:spacing w:line="276" w:lineRule="auto"/>
        <w:rPr>
          <w:rStyle w:val="Hervorhebung"/>
          <w:b w:val="0"/>
          <w:lang w:val="fr-FR"/>
        </w:rPr>
      </w:pPr>
      <w:r w:rsidRPr="00113167">
        <w:rPr>
          <w:rStyle w:val="Hervorhebung"/>
          <w:lang w:val="fr-FR"/>
        </w:rPr>
        <w:t xml:space="preserve">Grâce aux grandes capacités des </w:t>
      </w:r>
      <w:proofErr w:type="gramStart"/>
      <w:r w:rsidRPr="00113167">
        <w:rPr>
          <w:rStyle w:val="Hervorhebung"/>
          <w:lang w:val="fr-FR"/>
        </w:rPr>
        <w:t>réservoirs </w:t>
      </w:r>
      <w:r w:rsidR="00F45CFC" w:rsidRPr="004708C7">
        <w:rPr>
          <w:rStyle w:val="Hervorhebung"/>
          <w:b w:val="0"/>
          <w:lang w:val="fr-FR"/>
        </w:rPr>
        <w:t>,</w:t>
      </w:r>
      <w:proofErr w:type="gramEnd"/>
      <w:r w:rsidR="00F45CFC" w:rsidRPr="004708C7">
        <w:rPr>
          <w:rStyle w:val="Hervorhebung"/>
          <w:b w:val="0"/>
          <w:lang w:val="fr-FR"/>
        </w:rPr>
        <w:t xml:space="preserve"> la préparation de la couche de base liée au liant hydraulique sur le chantier de l’aéroport de Cologne/Bonn s’est parfaitement bien déroulée. </w:t>
      </w:r>
      <w:r w:rsidR="00733646" w:rsidRPr="00733646">
        <w:rPr>
          <w:rStyle w:val="Hervorhebung"/>
          <w:b w:val="0"/>
          <w:lang w:val="fr-FR"/>
        </w:rPr>
        <w:t xml:space="preserve">C’est également ce que confirme David Rose, chef de chantier de la principale entreprise exécutante Heinz </w:t>
      </w:r>
      <w:proofErr w:type="spellStart"/>
      <w:r w:rsidR="00733646" w:rsidRPr="00733646">
        <w:rPr>
          <w:rStyle w:val="Hervorhebung"/>
          <w:b w:val="0"/>
          <w:lang w:val="fr-FR"/>
        </w:rPr>
        <w:t>Schnorpfeil</w:t>
      </w:r>
      <w:proofErr w:type="spellEnd"/>
      <w:r w:rsidR="00733646" w:rsidRPr="00733646">
        <w:rPr>
          <w:rStyle w:val="Hervorhebung"/>
          <w:b w:val="0"/>
          <w:lang w:val="fr-FR"/>
        </w:rPr>
        <w:t xml:space="preserve"> Bau GmbH : « En tant qu’entreprise de construction, nous exploitons volontiers les avantages qu’apportent le procédé de mélange en centrale et la centrale d’enrobage à froid Wirtgen. Cette centrale respecte la formulation en toute fiabilité tout en produisant le volume souhaité en temps voulu ».</w:t>
      </w:r>
      <w:r w:rsidR="00F45CFC" w:rsidRPr="004708C7">
        <w:rPr>
          <w:rStyle w:val="Hervorhebung"/>
          <w:b w:val="0"/>
          <w:lang w:val="fr-FR"/>
        </w:rPr>
        <w:t xml:space="preserve">Ainsi, la KMA 220 a produit en continu un matériau pour couche de base liée au liant hydraulique, </w:t>
      </w:r>
      <w:r w:rsidRPr="00733646">
        <w:rPr>
          <w:rStyle w:val="Hervorhebung"/>
          <w:b w:val="0"/>
          <w:lang w:val="fr-FR"/>
        </w:rPr>
        <w:t>q</w:t>
      </w:r>
      <w:r w:rsidRPr="00113167">
        <w:rPr>
          <w:rStyle w:val="Hervorhebung"/>
          <w:b w:val="0"/>
          <w:lang w:val="fr-FR"/>
        </w:rPr>
        <w:t>ui a ensuite été répandu</w:t>
      </w:r>
      <w:r w:rsidRPr="00113167">
        <w:rPr>
          <w:rStyle w:val="Hervorhebung"/>
          <w:lang w:val="fr-FR"/>
        </w:rPr>
        <w:t xml:space="preserve"> </w:t>
      </w:r>
      <w:r w:rsidR="00F45CFC" w:rsidRPr="004708C7">
        <w:rPr>
          <w:rStyle w:val="Hervorhebung"/>
          <w:b w:val="0"/>
          <w:lang w:val="fr-FR"/>
        </w:rPr>
        <w:t xml:space="preserve">par une niveleuse sur le chantier. Puis le compactage a été effectué par un compacteur de terrassement Hamm, le compacteur monocylindre H 16i. </w:t>
      </w:r>
    </w:p>
    <w:p w:rsidR="00F45CFC" w:rsidRPr="004708C7" w:rsidRDefault="00F45CFC" w:rsidP="00F45CFC">
      <w:pPr>
        <w:pStyle w:val="Text"/>
        <w:spacing w:line="276" w:lineRule="auto"/>
        <w:rPr>
          <w:rStyle w:val="Hervorhebung"/>
          <w:b w:val="0"/>
          <w:lang w:val="fr-FR"/>
        </w:rPr>
      </w:pPr>
    </w:p>
    <w:p w:rsidR="00F45CFC" w:rsidRPr="004708C7" w:rsidRDefault="00F45CFC" w:rsidP="00F45CFC">
      <w:pPr>
        <w:pStyle w:val="Text"/>
        <w:spacing w:line="276" w:lineRule="auto"/>
        <w:rPr>
          <w:rStyle w:val="Hervorhebung"/>
          <w:b w:val="0"/>
          <w:lang w:val="fr-FR"/>
        </w:rPr>
      </w:pPr>
      <w:r w:rsidRPr="004708C7">
        <w:rPr>
          <w:rStyle w:val="Hervorhebung"/>
          <w:b w:val="0"/>
          <w:lang w:val="fr-FR"/>
        </w:rPr>
        <w:t xml:space="preserve">Dès la fin de la production du matériau pour couche de base liée à liant hydraulique, un finisseur </w:t>
      </w:r>
      <w:proofErr w:type="spellStart"/>
      <w:r w:rsidRPr="004708C7">
        <w:rPr>
          <w:rStyle w:val="Hervorhebung"/>
          <w:b w:val="0"/>
          <w:lang w:val="fr-FR"/>
        </w:rPr>
        <w:t>Vögele</w:t>
      </w:r>
      <w:proofErr w:type="spellEnd"/>
      <w:r w:rsidRPr="004708C7">
        <w:rPr>
          <w:rStyle w:val="Hervorhebung"/>
          <w:b w:val="0"/>
          <w:lang w:val="fr-FR"/>
        </w:rPr>
        <w:t xml:space="preserve"> et quelques compacteurs d’enrobé Hamm ont réalisé le corps de chaussée en enrobé de 30 cm sur la couche de base liée au liant hydraulique. </w:t>
      </w:r>
    </w:p>
    <w:p w:rsidR="00F45CFC" w:rsidRPr="004708C7" w:rsidRDefault="00F45CFC" w:rsidP="00F45CFC">
      <w:pPr>
        <w:pStyle w:val="Text"/>
        <w:spacing w:line="276" w:lineRule="auto"/>
        <w:rPr>
          <w:rStyle w:val="Hervorhebung"/>
          <w:b w:val="0"/>
          <w:lang w:val="fr-FR"/>
        </w:rPr>
      </w:pPr>
    </w:p>
    <w:p w:rsidR="00F45CFC" w:rsidRPr="004708C7" w:rsidRDefault="00F45CFC" w:rsidP="00F45CFC">
      <w:pPr>
        <w:pStyle w:val="Text"/>
        <w:spacing w:line="276" w:lineRule="auto"/>
        <w:rPr>
          <w:lang w:val="fr-FR"/>
        </w:rPr>
      </w:pPr>
      <w:r w:rsidRPr="004708C7">
        <w:rPr>
          <w:rStyle w:val="Hervorhebung"/>
          <w:b w:val="0"/>
          <w:lang w:val="fr-FR"/>
        </w:rPr>
        <w:t xml:space="preserve">Au même moment, </w:t>
      </w:r>
      <w:proofErr w:type="spellStart"/>
      <w:r w:rsidRPr="004708C7">
        <w:rPr>
          <w:rStyle w:val="Hervorhebung"/>
          <w:b w:val="0"/>
          <w:lang w:val="fr-FR"/>
        </w:rPr>
        <w:t>Volkmar</w:t>
      </w:r>
      <w:proofErr w:type="spellEnd"/>
      <w:r w:rsidRPr="004708C7">
        <w:rPr>
          <w:rStyle w:val="Hervorhebung"/>
          <w:b w:val="0"/>
          <w:lang w:val="fr-FR"/>
        </w:rPr>
        <w:t xml:space="preserve"> Gogol était déjà en train de préparer le transport de la KMA 220 vers sa nouvelle destination. Situé à 150 km de là dans le Hunsrück, un nouveau chantier </w:t>
      </w:r>
      <w:r w:rsidR="004708C7">
        <w:rPr>
          <w:rStyle w:val="Hervorhebung"/>
          <w:b w:val="0"/>
          <w:lang w:val="fr-FR"/>
        </w:rPr>
        <w:t xml:space="preserve">où il </w:t>
      </w:r>
      <w:r w:rsidRPr="004708C7">
        <w:rPr>
          <w:rStyle w:val="Hervorhebung"/>
          <w:b w:val="0"/>
          <w:lang w:val="fr-FR"/>
        </w:rPr>
        <w:t>prévoit de traiter en 2 semaines près de 20 000 t de matériau à forte teneur en goudron récupéré en vue de le recycler de façon rentable et de l’utiliser pour la réfection du corps de chaussée d’une route départementale.</w:t>
      </w:r>
    </w:p>
    <w:p w:rsidR="00F45CFC" w:rsidRPr="004708C7" w:rsidRDefault="00F45CFC" w:rsidP="00F45CFC">
      <w:pPr>
        <w:rPr>
          <w:b/>
          <w:sz w:val="22"/>
          <w:szCs w:val="22"/>
        </w:rPr>
      </w:pPr>
      <w:r w:rsidRPr="004708C7">
        <w:rPr>
          <w:caps/>
          <w:szCs w:val="22"/>
        </w:rPr>
        <w:br w:type="page"/>
      </w:r>
    </w:p>
    <w:p w:rsidR="00F45CFC" w:rsidRPr="004708C7" w:rsidRDefault="00F45CFC" w:rsidP="00F45CFC">
      <w:pPr>
        <w:pStyle w:val="HeadlineFotos"/>
        <w:rPr>
          <w:lang w:val="fr-FR"/>
        </w:rPr>
      </w:pPr>
      <w:r w:rsidRPr="004708C7">
        <w:rPr>
          <w:caps w:val="0"/>
          <w:szCs w:val="22"/>
          <w:lang w:val="fr-FR"/>
        </w:rPr>
        <w:lastRenderedPageBreak/>
        <w:t>Photos </w:t>
      </w:r>
      <w:r w:rsidRPr="004708C7">
        <w:rPr>
          <w:lang w:val="fr-FR"/>
        </w:rPr>
        <w:t xml:space="preserve">: </w:t>
      </w:r>
    </w:p>
    <w:tbl>
      <w:tblPr>
        <w:tblW w:w="0" w:type="auto"/>
        <w:tblCellSpacing w:w="71" w:type="dxa"/>
        <w:tblCellMar>
          <w:left w:w="0" w:type="dxa"/>
          <w:right w:w="0" w:type="dxa"/>
        </w:tblCellMar>
        <w:tblLook w:val="00A0" w:firstRow="1" w:lastRow="0" w:firstColumn="1" w:lastColumn="0" w:noHBand="0" w:noVBand="0"/>
      </w:tblPr>
      <w:tblGrid>
        <w:gridCol w:w="4975"/>
        <w:gridCol w:w="4833"/>
      </w:tblGrid>
      <w:tr w:rsidR="00F45CFC" w:rsidRPr="004708C7" w:rsidTr="00C864ED">
        <w:trPr>
          <w:tblCellSpacing w:w="71" w:type="dxa"/>
        </w:trPr>
        <w:tc>
          <w:tcPr>
            <w:tcW w:w="4832" w:type="dxa"/>
            <w:tcBorders>
              <w:right w:val="single" w:sz="4" w:space="0" w:color="auto"/>
            </w:tcBorders>
          </w:tcPr>
          <w:p w:rsidR="00F45CFC" w:rsidRPr="004708C7" w:rsidRDefault="00F45CFC" w:rsidP="00C864ED">
            <w:pPr>
              <w:rPr>
                <w:szCs w:val="20"/>
              </w:rPr>
            </w:pPr>
            <w:r w:rsidRPr="004708C7">
              <w:rPr>
                <w:noProof/>
                <w:szCs w:val="20"/>
                <w:lang w:val="de-DE" w:eastAsia="de-DE"/>
              </w:rPr>
              <w:drawing>
                <wp:inline distT="0" distB="0" distL="0" distR="0" wp14:anchorId="0296C54E" wp14:editId="6D1BE6A6">
                  <wp:extent cx="2667000" cy="1780258"/>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67000" cy="1780258"/>
                          </a:xfrm>
                          <a:prstGeom prst="rect">
                            <a:avLst/>
                          </a:prstGeom>
                          <a:noFill/>
                          <a:ln w="9525">
                            <a:noFill/>
                            <a:miter lim="800000"/>
                            <a:headEnd/>
                            <a:tailEnd/>
                          </a:ln>
                        </pic:spPr>
                      </pic:pic>
                    </a:graphicData>
                  </a:graphic>
                </wp:inline>
              </w:drawing>
            </w:r>
          </w:p>
        </w:tc>
        <w:tc>
          <w:tcPr>
            <w:tcW w:w="4832" w:type="dxa"/>
          </w:tcPr>
          <w:p w:rsidR="00F45CFC" w:rsidRPr="004708C7" w:rsidRDefault="00F45CFC" w:rsidP="00C864ED">
            <w:pPr>
              <w:pStyle w:val="berschrift3"/>
              <w:rPr>
                <w:lang w:val="fr-FR"/>
              </w:rPr>
            </w:pPr>
            <w:r w:rsidRPr="004708C7">
              <w:rPr>
                <w:lang w:val="fr-FR"/>
              </w:rPr>
              <w:t>W_photo_KMA220_00517</w:t>
            </w:r>
          </w:p>
          <w:p w:rsidR="00F45CFC" w:rsidRPr="004708C7" w:rsidRDefault="00F45CFC" w:rsidP="004708C7">
            <w:pPr>
              <w:pStyle w:val="Text"/>
              <w:jc w:val="left"/>
              <w:rPr>
                <w:sz w:val="20"/>
                <w:szCs w:val="20"/>
                <w:lang w:val="fr-FR"/>
              </w:rPr>
            </w:pPr>
            <w:r w:rsidRPr="004708C7">
              <w:rPr>
                <w:sz w:val="20"/>
                <w:szCs w:val="20"/>
                <w:lang w:val="fr-FR"/>
              </w:rPr>
              <w:t xml:space="preserve">La centrale mobile KMA 220 de Wirtgen peut réceptionner deux types de roche différents dans son grand doseur </w:t>
            </w:r>
            <w:r w:rsidR="004708C7">
              <w:rPr>
                <w:sz w:val="20"/>
                <w:szCs w:val="20"/>
                <w:lang w:val="fr-FR"/>
              </w:rPr>
              <w:t>de</w:t>
            </w:r>
            <w:r w:rsidRPr="004708C7">
              <w:rPr>
                <w:sz w:val="20"/>
                <w:szCs w:val="20"/>
                <w:lang w:val="fr-FR"/>
              </w:rPr>
              <w:t xml:space="preserve"> deux parties. Sur le chantier de l’aéroport de Cologne/Bonn, la centrale n’a été toutefois alimentée qu’avec un seul type de matériau minéral.</w:t>
            </w:r>
          </w:p>
        </w:tc>
      </w:tr>
    </w:tbl>
    <w:p w:rsidR="00F45CFC" w:rsidRPr="004708C7" w:rsidRDefault="00F45CFC" w:rsidP="00F45CFC">
      <w:pPr>
        <w:pStyle w:val="Text"/>
        <w:rPr>
          <w:lang w:val="fr-FR"/>
        </w:rPr>
      </w:pPr>
    </w:p>
    <w:tbl>
      <w:tblPr>
        <w:tblW w:w="0" w:type="auto"/>
        <w:tblCellSpacing w:w="71" w:type="dxa"/>
        <w:tblCellMar>
          <w:left w:w="0" w:type="dxa"/>
          <w:right w:w="0" w:type="dxa"/>
        </w:tblCellMar>
        <w:tblLook w:val="00A0" w:firstRow="1" w:lastRow="0" w:firstColumn="1" w:lastColumn="0" w:noHBand="0" w:noVBand="0"/>
      </w:tblPr>
      <w:tblGrid>
        <w:gridCol w:w="4968"/>
        <w:gridCol w:w="4840"/>
      </w:tblGrid>
      <w:tr w:rsidR="00F45CFC" w:rsidRPr="004708C7" w:rsidTr="00C864ED">
        <w:trPr>
          <w:tblCellSpacing w:w="71" w:type="dxa"/>
        </w:trPr>
        <w:tc>
          <w:tcPr>
            <w:tcW w:w="4832" w:type="dxa"/>
            <w:tcBorders>
              <w:right w:val="single" w:sz="4" w:space="0" w:color="auto"/>
            </w:tcBorders>
          </w:tcPr>
          <w:p w:rsidR="00F45CFC" w:rsidRPr="004708C7" w:rsidRDefault="00F45CFC" w:rsidP="00C864ED">
            <w:pPr>
              <w:rPr>
                <w:szCs w:val="20"/>
              </w:rPr>
            </w:pPr>
            <w:r w:rsidRPr="004708C7">
              <w:rPr>
                <w:noProof/>
                <w:szCs w:val="20"/>
                <w:lang w:val="de-DE" w:eastAsia="de-DE"/>
              </w:rPr>
              <w:drawing>
                <wp:inline distT="0" distB="0" distL="0" distR="0" wp14:anchorId="626C59AD" wp14:editId="71B93DDA">
                  <wp:extent cx="2611755" cy="1741170"/>
                  <wp:effectExtent l="0" t="0" r="0" b="0"/>
                  <wp:docPr id="7"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611755" cy="1741170"/>
                          </a:xfrm>
                          <a:prstGeom prst="rect">
                            <a:avLst/>
                          </a:prstGeom>
                          <a:noFill/>
                          <a:ln w="9525">
                            <a:noFill/>
                            <a:miter lim="800000"/>
                            <a:headEnd/>
                            <a:tailEnd/>
                          </a:ln>
                        </pic:spPr>
                      </pic:pic>
                    </a:graphicData>
                  </a:graphic>
                </wp:inline>
              </w:drawing>
            </w:r>
          </w:p>
        </w:tc>
        <w:tc>
          <w:tcPr>
            <w:tcW w:w="4832" w:type="dxa"/>
          </w:tcPr>
          <w:p w:rsidR="00F45CFC" w:rsidRPr="004708C7" w:rsidRDefault="00F45CFC" w:rsidP="00C864ED">
            <w:pPr>
              <w:pStyle w:val="berschrift3"/>
              <w:rPr>
                <w:lang w:val="fr-FR"/>
              </w:rPr>
            </w:pPr>
            <w:r w:rsidRPr="004708C7">
              <w:rPr>
                <w:lang w:val="fr-FR"/>
              </w:rPr>
              <w:t>W_photo_KMA220_00507</w:t>
            </w:r>
          </w:p>
          <w:p w:rsidR="00F45CFC" w:rsidRPr="004708C7" w:rsidRDefault="00F45CFC" w:rsidP="004708C7">
            <w:pPr>
              <w:pStyle w:val="Text"/>
              <w:rPr>
                <w:sz w:val="20"/>
                <w:szCs w:val="20"/>
                <w:lang w:val="fr-FR"/>
              </w:rPr>
            </w:pPr>
            <w:r w:rsidRPr="004708C7">
              <w:rPr>
                <w:sz w:val="20"/>
                <w:szCs w:val="20"/>
                <w:lang w:val="fr-FR"/>
              </w:rPr>
              <w:t xml:space="preserve">Dans la cabine, le pupitre de commande clair permet à l’utilisateur de consulter le rendement de malaxage </w:t>
            </w:r>
            <w:r w:rsidR="004708C7">
              <w:rPr>
                <w:sz w:val="20"/>
                <w:szCs w:val="20"/>
                <w:lang w:val="fr-FR"/>
              </w:rPr>
              <w:t>instantané</w:t>
            </w:r>
            <w:r w:rsidRPr="004708C7">
              <w:rPr>
                <w:sz w:val="20"/>
                <w:szCs w:val="20"/>
                <w:lang w:val="fr-FR"/>
              </w:rPr>
              <w:t xml:space="preserve"> – ici, 235 t/h. Des rendements journaliers typiques de 2 000 t en 10 heures ne posent donc aucun problème.</w:t>
            </w:r>
          </w:p>
        </w:tc>
      </w:tr>
    </w:tbl>
    <w:p w:rsidR="00F45CFC" w:rsidRPr="004708C7" w:rsidRDefault="00F45CFC" w:rsidP="00F45CFC">
      <w:pPr>
        <w:pStyle w:val="Text"/>
        <w:rPr>
          <w:lang w:val="fr-FR"/>
        </w:rPr>
      </w:pPr>
    </w:p>
    <w:tbl>
      <w:tblPr>
        <w:tblW w:w="0" w:type="auto"/>
        <w:tblCellSpacing w:w="71" w:type="dxa"/>
        <w:tblCellMar>
          <w:left w:w="0" w:type="dxa"/>
          <w:right w:w="0" w:type="dxa"/>
        </w:tblCellMar>
        <w:tblLook w:val="00A0" w:firstRow="1" w:lastRow="0" w:firstColumn="1" w:lastColumn="0" w:noHBand="0" w:noVBand="0"/>
      </w:tblPr>
      <w:tblGrid>
        <w:gridCol w:w="4968"/>
        <w:gridCol w:w="4840"/>
      </w:tblGrid>
      <w:tr w:rsidR="00F45CFC" w:rsidRPr="004708C7" w:rsidTr="00C864ED">
        <w:trPr>
          <w:tblCellSpacing w:w="71" w:type="dxa"/>
        </w:trPr>
        <w:tc>
          <w:tcPr>
            <w:tcW w:w="4832" w:type="dxa"/>
            <w:tcBorders>
              <w:right w:val="single" w:sz="4" w:space="0" w:color="auto"/>
            </w:tcBorders>
          </w:tcPr>
          <w:p w:rsidR="00F45CFC" w:rsidRPr="004708C7" w:rsidRDefault="00F45CFC" w:rsidP="00C864ED">
            <w:pPr>
              <w:rPr>
                <w:szCs w:val="20"/>
              </w:rPr>
            </w:pPr>
            <w:r w:rsidRPr="004708C7">
              <w:rPr>
                <w:noProof/>
                <w:szCs w:val="20"/>
                <w:lang w:val="de-DE" w:eastAsia="de-DE"/>
              </w:rPr>
              <w:drawing>
                <wp:inline distT="0" distB="0" distL="0" distR="0" wp14:anchorId="6A86C5A2" wp14:editId="4F58D834">
                  <wp:extent cx="2611755" cy="1741170"/>
                  <wp:effectExtent l="0" t="0" r="0" b="0"/>
                  <wp:docPr id="8"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611755" cy="1741170"/>
                          </a:xfrm>
                          <a:prstGeom prst="rect">
                            <a:avLst/>
                          </a:prstGeom>
                          <a:noFill/>
                          <a:ln w="9525">
                            <a:noFill/>
                            <a:miter lim="800000"/>
                            <a:headEnd/>
                            <a:tailEnd/>
                          </a:ln>
                        </pic:spPr>
                      </pic:pic>
                    </a:graphicData>
                  </a:graphic>
                </wp:inline>
              </w:drawing>
            </w:r>
          </w:p>
        </w:tc>
        <w:tc>
          <w:tcPr>
            <w:tcW w:w="4832" w:type="dxa"/>
          </w:tcPr>
          <w:p w:rsidR="00F45CFC" w:rsidRPr="004708C7" w:rsidRDefault="00F45CFC" w:rsidP="00C864ED">
            <w:pPr>
              <w:pStyle w:val="berschrift3"/>
              <w:rPr>
                <w:lang w:val="fr-FR"/>
              </w:rPr>
            </w:pPr>
            <w:r w:rsidRPr="004708C7">
              <w:rPr>
                <w:lang w:val="fr-FR"/>
              </w:rPr>
              <w:t>W_photo_KMA220_00511</w:t>
            </w:r>
          </w:p>
          <w:p w:rsidR="00F45CFC" w:rsidRPr="004708C7" w:rsidRDefault="00F45CFC" w:rsidP="00C864ED">
            <w:pPr>
              <w:pStyle w:val="Text"/>
              <w:jc w:val="left"/>
              <w:rPr>
                <w:sz w:val="20"/>
                <w:szCs w:val="20"/>
                <w:lang w:val="fr-FR"/>
              </w:rPr>
            </w:pPr>
            <w:r w:rsidRPr="004708C7">
              <w:rPr>
                <w:sz w:val="20"/>
                <w:szCs w:val="20"/>
                <w:lang w:val="fr-FR"/>
              </w:rPr>
              <w:t>La bande de déversement pivotante de la centrale d’enrobage mobile de recyclage à froid KMA 220 permet de remplir complètement les camions et de garantir un enlèvement optimal du matériau, même à pleine charge.</w:t>
            </w:r>
          </w:p>
        </w:tc>
      </w:tr>
    </w:tbl>
    <w:p w:rsidR="00F45CFC" w:rsidRPr="004708C7" w:rsidRDefault="00F45CFC" w:rsidP="00F45CFC">
      <w:pPr>
        <w:pStyle w:val="Text"/>
        <w:rPr>
          <w:lang w:val="fr-FR"/>
        </w:rPr>
      </w:pPr>
    </w:p>
    <w:tbl>
      <w:tblPr>
        <w:tblW w:w="0" w:type="auto"/>
        <w:tblCellSpacing w:w="71" w:type="dxa"/>
        <w:tblCellMar>
          <w:left w:w="0" w:type="dxa"/>
          <w:right w:w="0" w:type="dxa"/>
        </w:tblCellMar>
        <w:tblLook w:val="00A0" w:firstRow="1" w:lastRow="0" w:firstColumn="1" w:lastColumn="0" w:noHBand="0" w:noVBand="0"/>
      </w:tblPr>
      <w:tblGrid>
        <w:gridCol w:w="4968"/>
        <w:gridCol w:w="4840"/>
      </w:tblGrid>
      <w:tr w:rsidR="00F45CFC" w:rsidRPr="004708C7" w:rsidTr="00C864ED">
        <w:trPr>
          <w:tblCellSpacing w:w="71" w:type="dxa"/>
        </w:trPr>
        <w:tc>
          <w:tcPr>
            <w:tcW w:w="4755" w:type="dxa"/>
            <w:tcBorders>
              <w:right w:val="single" w:sz="4" w:space="0" w:color="auto"/>
            </w:tcBorders>
          </w:tcPr>
          <w:p w:rsidR="00F45CFC" w:rsidRPr="004708C7" w:rsidRDefault="00F45CFC" w:rsidP="00C864ED">
            <w:pPr>
              <w:rPr>
                <w:szCs w:val="20"/>
              </w:rPr>
            </w:pPr>
            <w:r w:rsidRPr="004708C7">
              <w:rPr>
                <w:noProof/>
                <w:szCs w:val="20"/>
                <w:lang w:val="de-DE" w:eastAsia="de-DE"/>
              </w:rPr>
              <w:drawing>
                <wp:inline distT="0" distB="0" distL="0" distR="0" wp14:anchorId="1E6B2280" wp14:editId="0F1759A7">
                  <wp:extent cx="2610649" cy="1741170"/>
                  <wp:effectExtent l="0" t="0" r="0" b="0"/>
                  <wp:docPr id="13"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610649" cy="1741170"/>
                          </a:xfrm>
                          <a:prstGeom prst="rect">
                            <a:avLst/>
                          </a:prstGeom>
                          <a:noFill/>
                          <a:ln w="9525">
                            <a:noFill/>
                            <a:miter lim="800000"/>
                            <a:headEnd/>
                            <a:tailEnd/>
                          </a:ln>
                        </pic:spPr>
                      </pic:pic>
                    </a:graphicData>
                  </a:graphic>
                </wp:inline>
              </w:drawing>
            </w:r>
          </w:p>
        </w:tc>
        <w:tc>
          <w:tcPr>
            <w:tcW w:w="4627" w:type="dxa"/>
          </w:tcPr>
          <w:p w:rsidR="00F45CFC" w:rsidRPr="004708C7" w:rsidRDefault="00F45CFC" w:rsidP="00C864ED">
            <w:pPr>
              <w:pStyle w:val="berschrift3"/>
              <w:rPr>
                <w:lang w:val="fr-FR"/>
              </w:rPr>
            </w:pPr>
            <w:r w:rsidRPr="004708C7">
              <w:rPr>
                <w:lang w:val="fr-FR"/>
              </w:rPr>
              <w:t>W_photo_KMA220_00501</w:t>
            </w:r>
          </w:p>
          <w:p w:rsidR="00F45CFC" w:rsidRPr="004708C7" w:rsidRDefault="00F45CFC" w:rsidP="00C864ED">
            <w:pPr>
              <w:pStyle w:val="Text"/>
              <w:jc w:val="left"/>
              <w:rPr>
                <w:sz w:val="20"/>
                <w:szCs w:val="20"/>
                <w:lang w:val="fr-FR"/>
              </w:rPr>
            </w:pPr>
            <w:r w:rsidRPr="004708C7">
              <w:rPr>
                <w:sz w:val="20"/>
                <w:szCs w:val="20"/>
                <w:lang w:val="fr-FR"/>
              </w:rPr>
              <w:t>La longueur de transport de la KMA 220 de Wirtgen, cabine incluse, est de 14,71 m. La largeur de transport, quant à elle, n’est que de 2,50 m, la cabine étant rabattue pour le transport.</w:t>
            </w:r>
          </w:p>
        </w:tc>
      </w:tr>
    </w:tbl>
    <w:p w:rsidR="00F45CFC" w:rsidRPr="004708C7" w:rsidRDefault="00F45CFC" w:rsidP="00F45CFC">
      <w:pPr>
        <w:pStyle w:val="HeadlineFotos"/>
        <w:rPr>
          <w:lang w:val="fr-FR"/>
        </w:rPr>
      </w:pPr>
      <w:r w:rsidRPr="004708C7">
        <w:rPr>
          <w:caps w:val="0"/>
          <w:szCs w:val="22"/>
          <w:lang w:val="fr-FR"/>
        </w:rPr>
        <w:lastRenderedPageBreak/>
        <w:t>Photos </w:t>
      </w:r>
      <w:r w:rsidRPr="004708C7">
        <w:rPr>
          <w:lang w:val="fr-FR"/>
        </w:rPr>
        <w:t xml:space="preserve">: </w:t>
      </w:r>
    </w:p>
    <w:tbl>
      <w:tblPr>
        <w:tblW w:w="0" w:type="auto"/>
        <w:tblCellSpacing w:w="71" w:type="dxa"/>
        <w:tblCellMar>
          <w:left w:w="0" w:type="dxa"/>
          <w:right w:w="0" w:type="dxa"/>
        </w:tblCellMar>
        <w:tblLook w:val="00A0" w:firstRow="1" w:lastRow="0" w:firstColumn="1" w:lastColumn="0" w:noHBand="0" w:noVBand="0"/>
      </w:tblPr>
      <w:tblGrid>
        <w:gridCol w:w="4988"/>
        <w:gridCol w:w="4820"/>
      </w:tblGrid>
      <w:tr w:rsidR="00F45CFC" w:rsidRPr="004708C7" w:rsidTr="00C864ED">
        <w:trPr>
          <w:tblCellSpacing w:w="71" w:type="dxa"/>
        </w:trPr>
        <w:tc>
          <w:tcPr>
            <w:tcW w:w="4775" w:type="dxa"/>
            <w:tcBorders>
              <w:right w:val="single" w:sz="4" w:space="0" w:color="auto"/>
            </w:tcBorders>
          </w:tcPr>
          <w:p w:rsidR="00F45CFC" w:rsidRPr="004708C7" w:rsidRDefault="00F45CFC" w:rsidP="00C864ED">
            <w:pPr>
              <w:rPr>
                <w:szCs w:val="20"/>
              </w:rPr>
            </w:pPr>
            <w:r w:rsidRPr="004708C7">
              <w:rPr>
                <w:noProof/>
                <w:szCs w:val="20"/>
                <w:lang w:val="de-DE" w:eastAsia="de-DE"/>
              </w:rPr>
              <w:drawing>
                <wp:inline distT="0" distB="0" distL="0" distR="0" wp14:anchorId="0DD70448" wp14:editId="0CCC02DE">
                  <wp:extent cx="2667000" cy="1780258"/>
                  <wp:effectExtent l="0" t="0" r="0" b="0"/>
                  <wp:docPr id="14"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667000" cy="1780258"/>
                          </a:xfrm>
                          <a:prstGeom prst="rect">
                            <a:avLst/>
                          </a:prstGeom>
                          <a:noFill/>
                          <a:ln w="9525">
                            <a:noFill/>
                            <a:miter lim="800000"/>
                            <a:headEnd/>
                            <a:tailEnd/>
                          </a:ln>
                        </pic:spPr>
                      </pic:pic>
                    </a:graphicData>
                  </a:graphic>
                </wp:inline>
              </w:drawing>
            </w:r>
          </w:p>
        </w:tc>
        <w:tc>
          <w:tcPr>
            <w:tcW w:w="4607" w:type="dxa"/>
          </w:tcPr>
          <w:p w:rsidR="00F45CFC" w:rsidRPr="004708C7" w:rsidRDefault="00F45CFC" w:rsidP="00C864ED">
            <w:pPr>
              <w:pStyle w:val="berschrift3"/>
              <w:rPr>
                <w:lang w:val="fr-FR"/>
              </w:rPr>
            </w:pPr>
            <w:r w:rsidRPr="004708C7">
              <w:rPr>
                <w:lang w:val="fr-FR"/>
              </w:rPr>
              <w:t>H_photo_H16i_00003</w:t>
            </w:r>
          </w:p>
          <w:p w:rsidR="00F45CFC" w:rsidRPr="004708C7" w:rsidRDefault="00F45CFC" w:rsidP="00C864ED">
            <w:pPr>
              <w:pStyle w:val="Text"/>
              <w:jc w:val="left"/>
              <w:rPr>
                <w:sz w:val="20"/>
                <w:szCs w:val="20"/>
                <w:lang w:val="fr-FR"/>
              </w:rPr>
            </w:pPr>
            <w:r w:rsidRPr="004708C7">
              <w:rPr>
                <w:sz w:val="20"/>
                <w:szCs w:val="20"/>
                <w:lang w:val="fr-FR"/>
              </w:rPr>
              <w:t>Sur le chantier de l’aéroport de Cologne/Bonn, le compactage de la couche de base liée au liant hydraulique a été effectué par un compacteur monocylindre Hamm H 16i.</w:t>
            </w:r>
          </w:p>
        </w:tc>
      </w:tr>
    </w:tbl>
    <w:p w:rsidR="00F45CFC" w:rsidRPr="004708C7" w:rsidRDefault="00F45CFC" w:rsidP="00F45CFC">
      <w:pPr>
        <w:pStyle w:val="Text"/>
        <w:rPr>
          <w:lang w:val="fr-FR"/>
        </w:rPr>
      </w:pPr>
    </w:p>
    <w:tbl>
      <w:tblPr>
        <w:tblW w:w="0" w:type="auto"/>
        <w:tblCellSpacing w:w="71" w:type="dxa"/>
        <w:tblCellMar>
          <w:left w:w="0" w:type="dxa"/>
          <w:right w:w="0" w:type="dxa"/>
        </w:tblCellMar>
        <w:tblLook w:val="00A0" w:firstRow="1" w:lastRow="0" w:firstColumn="1" w:lastColumn="0" w:noHBand="0" w:noVBand="0"/>
      </w:tblPr>
      <w:tblGrid>
        <w:gridCol w:w="4975"/>
        <w:gridCol w:w="4833"/>
      </w:tblGrid>
      <w:tr w:rsidR="00F45CFC" w:rsidRPr="004708C7" w:rsidTr="00C864ED">
        <w:trPr>
          <w:tblCellSpacing w:w="71" w:type="dxa"/>
        </w:trPr>
        <w:tc>
          <w:tcPr>
            <w:tcW w:w="4832" w:type="dxa"/>
            <w:tcBorders>
              <w:right w:val="single" w:sz="4" w:space="0" w:color="auto"/>
            </w:tcBorders>
          </w:tcPr>
          <w:p w:rsidR="00F45CFC" w:rsidRPr="004708C7" w:rsidRDefault="00F45CFC" w:rsidP="00C864ED">
            <w:pPr>
              <w:rPr>
                <w:szCs w:val="20"/>
                <w:highlight w:val="red"/>
              </w:rPr>
            </w:pPr>
            <w:bookmarkStart w:id="1" w:name="_GoBack"/>
            <w:r w:rsidRPr="004708C7">
              <w:rPr>
                <w:noProof/>
                <w:szCs w:val="20"/>
                <w:highlight w:val="red"/>
                <w:lang w:val="de-DE" w:eastAsia="de-DE"/>
              </w:rPr>
              <w:drawing>
                <wp:inline distT="0" distB="0" distL="0" distR="0" wp14:anchorId="0996C7C8" wp14:editId="787B01EB">
                  <wp:extent cx="2667000" cy="1780364"/>
                  <wp:effectExtent l="0" t="0" r="0" b="0"/>
                  <wp:docPr id="15"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667000" cy="1780364"/>
                          </a:xfrm>
                          <a:prstGeom prst="rect">
                            <a:avLst/>
                          </a:prstGeom>
                          <a:noFill/>
                          <a:ln w="9525">
                            <a:noFill/>
                            <a:miter lim="800000"/>
                            <a:headEnd/>
                            <a:tailEnd/>
                          </a:ln>
                        </pic:spPr>
                      </pic:pic>
                    </a:graphicData>
                  </a:graphic>
                </wp:inline>
              </w:drawing>
            </w:r>
            <w:bookmarkEnd w:id="1"/>
          </w:p>
        </w:tc>
        <w:tc>
          <w:tcPr>
            <w:tcW w:w="4832" w:type="dxa"/>
          </w:tcPr>
          <w:p w:rsidR="00F45CFC" w:rsidRPr="00113167" w:rsidRDefault="00F45CFC" w:rsidP="00C864ED">
            <w:pPr>
              <w:pStyle w:val="berschrift3"/>
              <w:rPr>
                <w:lang w:val="fr-FR"/>
              </w:rPr>
            </w:pPr>
            <w:r w:rsidRPr="00113167">
              <w:rPr>
                <w:lang w:val="fr-FR"/>
              </w:rPr>
              <w:t>W_photo_KMA220_00512</w:t>
            </w:r>
          </w:p>
          <w:p w:rsidR="00F45CFC" w:rsidRPr="00113167" w:rsidRDefault="00113167" w:rsidP="00C864ED">
            <w:pPr>
              <w:pStyle w:val="Text"/>
              <w:jc w:val="left"/>
              <w:rPr>
                <w:sz w:val="20"/>
                <w:szCs w:val="20"/>
                <w:highlight w:val="red"/>
                <w:lang w:val="fr-FR"/>
              </w:rPr>
            </w:pPr>
            <w:r w:rsidRPr="00113167">
              <w:rPr>
                <w:rStyle w:val="Hervorhebung"/>
                <w:b w:val="0"/>
                <w:sz w:val="20"/>
                <w:szCs w:val="20"/>
                <w:lang w:val="fr-FR"/>
              </w:rPr>
              <w:t>« En tant qu’entreprise de construction, nous exploitons volontiers les avantages qu’apportent le procédé de mélange en centrale et la centrale d’enrobage à froid Wirtgen. Cette centrale respecte la formulation en toute fiabilité tout en produisant le volume souhaité en temps voulu »</w:t>
            </w:r>
            <w:r w:rsidRPr="00113167">
              <w:rPr>
                <w:rStyle w:val="Hervorhebung"/>
                <w:b w:val="0"/>
                <w:sz w:val="20"/>
                <w:szCs w:val="20"/>
                <w:lang w:val="fr-FR"/>
              </w:rPr>
              <w:t xml:space="preserve"> </w:t>
            </w:r>
            <w:r w:rsidRPr="00113167">
              <w:rPr>
                <w:rStyle w:val="Hervorhebung"/>
                <w:b w:val="0"/>
                <w:sz w:val="20"/>
                <w:szCs w:val="20"/>
                <w:lang w:val="fr-FR"/>
              </w:rPr>
              <w:t xml:space="preserve">confirme David Rose, chef de chantier de la principale entreprise exécutante Heinz </w:t>
            </w:r>
            <w:proofErr w:type="spellStart"/>
            <w:r w:rsidRPr="00113167">
              <w:rPr>
                <w:rStyle w:val="Hervorhebung"/>
                <w:b w:val="0"/>
                <w:sz w:val="20"/>
                <w:szCs w:val="20"/>
                <w:lang w:val="fr-FR"/>
              </w:rPr>
              <w:t>Schnorpfeil</w:t>
            </w:r>
            <w:proofErr w:type="spellEnd"/>
            <w:r w:rsidRPr="00113167">
              <w:rPr>
                <w:rStyle w:val="Hervorhebung"/>
                <w:b w:val="0"/>
                <w:sz w:val="20"/>
                <w:szCs w:val="20"/>
                <w:lang w:val="fr-FR"/>
              </w:rPr>
              <w:t xml:space="preserve"> Bau GmbH</w:t>
            </w:r>
            <w:r w:rsidRPr="00113167">
              <w:rPr>
                <w:rStyle w:val="Hervorhebung"/>
                <w:b w:val="0"/>
                <w:sz w:val="20"/>
                <w:szCs w:val="20"/>
                <w:lang w:val="fr-FR"/>
              </w:rPr>
              <w:t>.</w:t>
            </w:r>
            <w:r w:rsidRPr="00113167">
              <w:rPr>
                <w:rStyle w:val="Hervorhebung"/>
                <w:b w:val="0"/>
                <w:sz w:val="20"/>
                <w:szCs w:val="20"/>
                <w:lang w:val="fr-FR"/>
              </w:rPr>
              <w:t> </w:t>
            </w:r>
          </w:p>
        </w:tc>
      </w:tr>
    </w:tbl>
    <w:p w:rsidR="00F45CFC" w:rsidRPr="004708C7" w:rsidRDefault="00F45CFC" w:rsidP="00F45CFC">
      <w:pPr>
        <w:pStyle w:val="Text"/>
        <w:rPr>
          <w:lang w:val="fr-FR"/>
        </w:rPr>
      </w:pPr>
    </w:p>
    <w:tbl>
      <w:tblPr>
        <w:tblW w:w="0" w:type="auto"/>
        <w:tblCellSpacing w:w="71" w:type="dxa"/>
        <w:tblCellMar>
          <w:left w:w="0" w:type="dxa"/>
          <w:right w:w="0" w:type="dxa"/>
        </w:tblCellMar>
        <w:tblLook w:val="00A0" w:firstRow="1" w:lastRow="0" w:firstColumn="1" w:lastColumn="0" w:noHBand="0" w:noVBand="0"/>
      </w:tblPr>
      <w:tblGrid>
        <w:gridCol w:w="4975"/>
        <w:gridCol w:w="4833"/>
      </w:tblGrid>
      <w:tr w:rsidR="00F45CFC" w:rsidRPr="004708C7" w:rsidTr="00C864ED">
        <w:trPr>
          <w:tblCellSpacing w:w="71" w:type="dxa"/>
        </w:trPr>
        <w:tc>
          <w:tcPr>
            <w:tcW w:w="4762" w:type="dxa"/>
            <w:tcBorders>
              <w:right w:val="single" w:sz="4" w:space="0" w:color="auto"/>
            </w:tcBorders>
          </w:tcPr>
          <w:p w:rsidR="00F45CFC" w:rsidRPr="004708C7" w:rsidRDefault="00F45CFC" w:rsidP="00C864ED">
            <w:pPr>
              <w:rPr>
                <w:szCs w:val="20"/>
              </w:rPr>
            </w:pPr>
            <w:r w:rsidRPr="004708C7">
              <w:rPr>
                <w:noProof/>
                <w:szCs w:val="20"/>
                <w:lang w:val="de-DE" w:eastAsia="de-DE"/>
              </w:rPr>
              <w:drawing>
                <wp:inline distT="0" distB="0" distL="0" distR="0" wp14:anchorId="22059267" wp14:editId="4ACE40D3">
                  <wp:extent cx="2667000" cy="1741170"/>
                  <wp:effectExtent l="19050" t="0" r="0" b="0"/>
                  <wp:docPr id="16"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67000" cy="1741170"/>
                          </a:xfrm>
                          <a:prstGeom prst="rect">
                            <a:avLst/>
                          </a:prstGeom>
                          <a:noFill/>
                          <a:ln w="9525">
                            <a:noFill/>
                            <a:miter lim="800000"/>
                            <a:headEnd/>
                            <a:tailEnd/>
                          </a:ln>
                        </pic:spPr>
                      </pic:pic>
                    </a:graphicData>
                  </a:graphic>
                </wp:inline>
              </w:drawing>
            </w:r>
          </w:p>
        </w:tc>
        <w:tc>
          <w:tcPr>
            <w:tcW w:w="4620" w:type="dxa"/>
          </w:tcPr>
          <w:p w:rsidR="00F45CFC" w:rsidRPr="004708C7" w:rsidRDefault="00F45CFC" w:rsidP="00C864ED">
            <w:pPr>
              <w:pStyle w:val="berschrift3"/>
              <w:rPr>
                <w:lang w:val="fr-FR"/>
              </w:rPr>
            </w:pPr>
            <w:r w:rsidRPr="004708C7">
              <w:rPr>
                <w:lang w:val="fr-FR"/>
              </w:rPr>
              <w:t>W_photo_KMA220_00510</w:t>
            </w:r>
          </w:p>
          <w:p w:rsidR="00F45CFC" w:rsidRPr="004708C7" w:rsidRDefault="00F45CFC" w:rsidP="00C864ED">
            <w:pPr>
              <w:pStyle w:val="Text"/>
              <w:jc w:val="left"/>
              <w:rPr>
                <w:sz w:val="20"/>
                <w:szCs w:val="20"/>
                <w:lang w:val="fr-FR"/>
              </w:rPr>
            </w:pPr>
            <w:proofErr w:type="spellStart"/>
            <w:r w:rsidRPr="004708C7">
              <w:rPr>
                <w:sz w:val="20"/>
                <w:szCs w:val="20"/>
                <w:lang w:val="fr-FR"/>
              </w:rPr>
              <w:t>Volkmar</w:t>
            </w:r>
            <w:proofErr w:type="spellEnd"/>
            <w:r w:rsidRPr="004708C7">
              <w:rPr>
                <w:sz w:val="20"/>
                <w:szCs w:val="20"/>
                <w:lang w:val="fr-FR"/>
              </w:rPr>
              <w:t xml:space="preserve"> Gogol travaille déjà depuis 1990 avec les centrales d’enrobage à froid Wirtgen. « Avec la KMA 220, j’atteins des rendements de malaxage de 150 à 220 t par heure, indépendamment du matériau et de la formulation, ce qui correspond à 2 000 t en une journée de travail », explique cet utilisateur expérimenté.</w:t>
            </w:r>
          </w:p>
        </w:tc>
      </w:tr>
    </w:tbl>
    <w:p w:rsidR="00F45CFC" w:rsidRPr="004708C7" w:rsidRDefault="00F45CFC" w:rsidP="00F45CFC">
      <w:pPr>
        <w:pStyle w:val="Text"/>
        <w:rPr>
          <w:lang w:val="fr-FR"/>
        </w:rPr>
      </w:pPr>
    </w:p>
    <w:p w:rsidR="00F45CFC" w:rsidRPr="004708C7" w:rsidRDefault="00F45CFC" w:rsidP="00F45CFC">
      <w:pPr>
        <w:pStyle w:val="Text"/>
        <w:rPr>
          <w:lang w:val="fr-FR"/>
        </w:rPr>
      </w:pPr>
    </w:p>
    <w:p w:rsidR="00F45CFC" w:rsidRPr="004708C7" w:rsidRDefault="00F45CFC" w:rsidP="00F45CFC">
      <w:pPr>
        <w:pStyle w:val="Text"/>
        <w:rPr>
          <w:i/>
          <w:lang w:val="fr-FR"/>
        </w:rPr>
      </w:pPr>
      <w:r w:rsidRPr="004708C7">
        <w:rPr>
          <w:i/>
          <w:u w:val="single"/>
          <w:lang w:val="fr-FR"/>
        </w:rPr>
        <w:t>Attention :</w:t>
      </w:r>
      <w:r w:rsidRPr="004708C7">
        <w:rPr>
          <w:i/>
          <w:lang w:val="fr-FR"/>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rsidR="00F45CFC" w:rsidRPr="004708C7" w:rsidRDefault="00F45CFC" w:rsidP="00F45CFC">
      <w:pPr>
        <w:pStyle w:val="Text"/>
        <w:rPr>
          <w:lang w:val="fr-FR"/>
        </w:rPr>
      </w:pPr>
    </w:p>
    <w:p w:rsidR="00F45CFC" w:rsidRPr="004708C7" w:rsidRDefault="00F45CFC" w:rsidP="00F45CFC">
      <w:pPr>
        <w:pStyle w:val="Text"/>
        <w:rPr>
          <w:lang w:val="fr-FR"/>
        </w:rPr>
      </w:pPr>
    </w:p>
    <w:p w:rsidR="00F45CFC" w:rsidRPr="004708C7" w:rsidRDefault="00F45CFC" w:rsidP="00F45CFC">
      <w:r w:rsidRPr="004708C7">
        <w:rPr>
          <w:b/>
          <w:caps/>
        </w:rPr>
        <w:br w:type="page"/>
      </w:r>
    </w:p>
    <w:tbl>
      <w:tblPr>
        <w:tblStyle w:val="Basic"/>
        <w:tblW w:w="0" w:type="auto"/>
        <w:tblLook w:val="04A0" w:firstRow="1" w:lastRow="0" w:firstColumn="1" w:lastColumn="0" w:noHBand="0" w:noVBand="1"/>
      </w:tblPr>
      <w:tblGrid>
        <w:gridCol w:w="4784"/>
        <w:gridCol w:w="4740"/>
      </w:tblGrid>
      <w:tr w:rsidR="00F45CFC" w:rsidRPr="004708C7" w:rsidTr="00C864ED">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F45CFC" w:rsidRPr="004708C7" w:rsidRDefault="00F45CFC" w:rsidP="00C864ED">
            <w:pPr>
              <w:pStyle w:val="HeadlineKontakte"/>
              <w:rPr>
                <w:rFonts w:eastAsia="Calibri"/>
                <w:caps w:val="0"/>
                <w:szCs w:val="22"/>
                <w:lang w:val="fr-FR"/>
              </w:rPr>
            </w:pPr>
            <w:r w:rsidRPr="004708C7">
              <w:rPr>
                <w:rFonts w:cs="Arial"/>
                <w:lang w:val="fr-FR"/>
              </w:rPr>
              <w:lastRenderedPageBreak/>
              <w:t>Vous obtiendrez de plus amples</w:t>
            </w:r>
          </w:p>
          <w:p w:rsidR="00F45CFC" w:rsidRPr="004708C7" w:rsidRDefault="00F45CFC" w:rsidP="00C864ED">
            <w:pPr>
              <w:pStyle w:val="HeadlineKontakte"/>
              <w:rPr>
                <w:lang w:val="fr-FR"/>
              </w:rPr>
            </w:pPr>
            <w:r w:rsidRPr="004708C7">
              <w:rPr>
                <w:rFonts w:cs="Arial"/>
                <w:lang w:val="fr-FR"/>
              </w:rPr>
              <w:t xml:space="preserve">informations auprès de </w:t>
            </w:r>
            <w:r w:rsidRPr="004708C7">
              <w:rPr>
                <w:lang w:val="fr-FR"/>
              </w:rPr>
              <w:t>:</w:t>
            </w:r>
          </w:p>
          <w:p w:rsidR="00F45CFC" w:rsidRPr="004708C7" w:rsidRDefault="00F45CFC" w:rsidP="00C864ED">
            <w:pPr>
              <w:pStyle w:val="Text"/>
              <w:rPr>
                <w:lang w:val="fr-FR"/>
              </w:rPr>
            </w:pPr>
            <w:r w:rsidRPr="004708C7">
              <w:rPr>
                <w:lang w:val="fr-FR"/>
              </w:rPr>
              <w:t>WIRTGEN GmbH</w:t>
            </w:r>
          </w:p>
          <w:p w:rsidR="00F45CFC" w:rsidRPr="004708C7" w:rsidRDefault="00F45CFC" w:rsidP="00C864ED">
            <w:pPr>
              <w:pStyle w:val="Text"/>
              <w:rPr>
                <w:lang w:val="fr-FR"/>
              </w:rPr>
            </w:pPr>
            <w:proofErr w:type="spellStart"/>
            <w:r w:rsidRPr="004708C7">
              <w:rPr>
                <w:lang w:val="fr-FR"/>
              </w:rPr>
              <w:t>Corporate</w:t>
            </w:r>
            <w:proofErr w:type="spellEnd"/>
            <w:r w:rsidRPr="004708C7">
              <w:rPr>
                <w:lang w:val="fr-FR"/>
              </w:rPr>
              <w:t xml:space="preserve"> Communications</w:t>
            </w:r>
          </w:p>
          <w:p w:rsidR="00F45CFC" w:rsidRPr="004708C7" w:rsidRDefault="00F45CFC" w:rsidP="00C864ED">
            <w:pPr>
              <w:pStyle w:val="Text"/>
              <w:rPr>
                <w:lang w:val="fr-FR"/>
              </w:rPr>
            </w:pPr>
            <w:r w:rsidRPr="004708C7">
              <w:rPr>
                <w:lang w:val="fr-FR"/>
              </w:rPr>
              <w:t>Michaela Adams, Mario Linnemann</w:t>
            </w:r>
          </w:p>
          <w:p w:rsidR="00F45CFC" w:rsidRPr="004708C7" w:rsidRDefault="00F45CFC" w:rsidP="00C864ED">
            <w:pPr>
              <w:pStyle w:val="Text"/>
              <w:rPr>
                <w:lang w:val="fr-FR"/>
              </w:rPr>
            </w:pPr>
            <w:r w:rsidRPr="004708C7">
              <w:rPr>
                <w:lang w:val="fr-FR"/>
              </w:rPr>
              <w:t>Reinhard-Wirtgen-</w:t>
            </w:r>
            <w:proofErr w:type="spellStart"/>
            <w:r w:rsidRPr="004708C7">
              <w:rPr>
                <w:lang w:val="fr-FR"/>
              </w:rPr>
              <w:t>Straße</w:t>
            </w:r>
            <w:proofErr w:type="spellEnd"/>
            <w:r w:rsidRPr="004708C7">
              <w:rPr>
                <w:lang w:val="fr-FR"/>
              </w:rPr>
              <w:t xml:space="preserve"> 2</w:t>
            </w:r>
          </w:p>
          <w:p w:rsidR="00F45CFC" w:rsidRPr="004708C7" w:rsidRDefault="00F45CFC" w:rsidP="00C864ED">
            <w:pPr>
              <w:pStyle w:val="Text"/>
              <w:rPr>
                <w:lang w:val="fr-FR"/>
              </w:rPr>
            </w:pPr>
            <w:r w:rsidRPr="004708C7">
              <w:rPr>
                <w:lang w:val="fr-FR"/>
              </w:rPr>
              <w:t xml:space="preserve">53578 </w:t>
            </w:r>
            <w:proofErr w:type="spellStart"/>
            <w:r w:rsidRPr="004708C7">
              <w:rPr>
                <w:lang w:val="fr-FR"/>
              </w:rPr>
              <w:t>Windhagen</w:t>
            </w:r>
            <w:proofErr w:type="spellEnd"/>
          </w:p>
          <w:p w:rsidR="00F45CFC" w:rsidRPr="004708C7" w:rsidRDefault="00F45CFC" w:rsidP="00C864ED">
            <w:pPr>
              <w:pStyle w:val="Text"/>
              <w:rPr>
                <w:lang w:val="fr-FR"/>
              </w:rPr>
            </w:pPr>
            <w:r w:rsidRPr="004708C7">
              <w:rPr>
                <w:lang w:val="fr-FR"/>
              </w:rPr>
              <w:t>Allemagne</w:t>
            </w:r>
          </w:p>
          <w:p w:rsidR="00F45CFC" w:rsidRPr="004708C7" w:rsidRDefault="00F45CFC" w:rsidP="00C864ED">
            <w:pPr>
              <w:pStyle w:val="Text"/>
              <w:rPr>
                <w:lang w:val="fr-FR"/>
              </w:rPr>
            </w:pPr>
          </w:p>
          <w:p w:rsidR="00F45CFC" w:rsidRPr="004708C7" w:rsidRDefault="00F45CFC" w:rsidP="00C864ED">
            <w:pPr>
              <w:pStyle w:val="Text"/>
              <w:rPr>
                <w:lang w:val="fr-FR"/>
              </w:rPr>
            </w:pPr>
            <w:r w:rsidRPr="004708C7">
              <w:rPr>
                <w:lang w:val="fr-FR"/>
              </w:rPr>
              <w:t>Téléphone: +49 (0) 2645 131 – 4510</w:t>
            </w:r>
          </w:p>
          <w:p w:rsidR="00F45CFC" w:rsidRPr="004708C7" w:rsidRDefault="00F45CFC" w:rsidP="00C864ED">
            <w:pPr>
              <w:pStyle w:val="Text"/>
              <w:rPr>
                <w:lang w:val="fr-FR"/>
              </w:rPr>
            </w:pPr>
            <w:proofErr w:type="spellStart"/>
            <w:r w:rsidRPr="004708C7">
              <w:rPr>
                <w:lang w:val="fr-FR"/>
              </w:rPr>
              <w:t>Telefax</w:t>
            </w:r>
            <w:proofErr w:type="spellEnd"/>
            <w:r w:rsidRPr="004708C7">
              <w:rPr>
                <w:lang w:val="fr-FR"/>
              </w:rPr>
              <w:t>:      +49 (0) 2645 131 – 499</w:t>
            </w:r>
          </w:p>
          <w:p w:rsidR="00F45CFC" w:rsidRPr="004708C7" w:rsidRDefault="00F45CFC" w:rsidP="00C864ED">
            <w:pPr>
              <w:pStyle w:val="Text"/>
              <w:rPr>
                <w:lang w:val="fr-FR"/>
              </w:rPr>
            </w:pPr>
            <w:r w:rsidRPr="004708C7">
              <w:rPr>
                <w:lang w:val="fr-FR"/>
              </w:rPr>
              <w:t>e-mail:        presse@wirtgen.com</w:t>
            </w:r>
          </w:p>
          <w:p w:rsidR="00F45CFC" w:rsidRPr="004708C7" w:rsidRDefault="00F45CFC" w:rsidP="00C864ED">
            <w:pPr>
              <w:pStyle w:val="Text"/>
              <w:rPr>
                <w:lang w:val="fr-FR"/>
              </w:rPr>
            </w:pPr>
            <w:r w:rsidRPr="004708C7">
              <w:rPr>
                <w:lang w:val="fr-FR"/>
              </w:rPr>
              <w:t>www.wirtgen.com</w:t>
            </w:r>
          </w:p>
        </w:tc>
        <w:tc>
          <w:tcPr>
            <w:tcW w:w="4740" w:type="dxa"/>
            <w:tcBorders>
              <w:left w:val="single" w:sz="48" w:space="0" w:color="FFFFFF" w:themeColor="background1"/>
            </w:tcBorders>
          </w:tcPr>
          <w:p w:rsidR="00F45CFC" w:rsidRPr="004708C7" w:rsidRDefault="00F45CFC" w:rsidP="00C864ED">
            <w:pPr>
              <w:pStyle w:val="Text"/>
              <w:rPr>
                <w:lang w:val="fr-FR"/>
              </w:rPr>
            </w:pPr>
          </w:p>
        </w:tc>
      </w:tr>
    </w:tbl>
    <w:p w:rsidR="00F45CFC" w:rsidRPr="004708C7" w:rsidRDefault="00F45CFC" w:rsidP="00F45CFC">
      <w:pPr>
        <w:pStyle w:val="Text"/>
        <w:rPr>
          <w:lang w:val="fr-FR"/>
        </w:rPr>
      </w:pPr>
    </w:p>
    <w:p w:rsidR="00D166AC" w:rsidRPr="004708C7" w:rsidRDefault="00D166AC" w:rsidP="00D166AC">
      <w:pPr>
        <w:pStyle w:val="Text"/>
        <w:rPr>
          <w:lang w:val="fr-FR"/>
        </w:rPr>
      </w:pPr>
    </w:p>
    <w:sectPr w:rsidR="00D166AC" w:rsidRPr="004708C7" w:rsidSect="003A753A">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5CFC" w:rsidRDefault="00F45CFC" w:rsidP="00E55534">
      <w:r>
        <w:separator/>
      </w:r>
    </w:p>
  </w:endnote>
  <w:endnote w:type="continuationSeparator" w:id="0">
    <w:p w:rsidR="00F45CFC" w:rsidRDefault="00F45CF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A62681">
                    <w:rPr>
                      <w:noProof/>
                    </w:rPr>
                    <w:t>05</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5CFC" w:rsidRDefault="00F45CFC" w:rsidP="00E55534">
      <w:r>
        <w:separator/>
      </w:r>
    </w:p>
  </w:footnote>
  <w:footnote w:type="continuationSeparator" w:id="0">
    <w:p w:rsidR="00F45CFC" w:rsidRDefault="00F45CFC"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00pt;height:1500pt" o:bullet="t">
        <v:imagedata r:id="rId1" o:title="AZ_04a"/>
      </v:shape>
    </w:pict>
  </w:numPicBullet>
  <w:numPicBullet w:numPicBulletId="1">
    <w:pict>
      <v:shape id="_x0000_i1048"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CFC"/>
    <w:rsid w:val="00042106"/>
    <w:rsid w:val="0005285B"/>
    <w:rsid w:val="00066D09"/>
    <w:rsid w:val="0009665C"/>
    <w:rsid w:val="000E2697"/>
    <w:rsid w:val="00103205"/>
    <w:rsid w:val="00113167"/>
    <w:rsid w:val="0012026F"/>
    <w:rsid w:val="00132055"/>
    <w:rsid w:val="0014683F"/>
    <w:rsid w:val="001B16BB"/>
    <w:rsid w:val="00244981"/>
    <w:rsid w:val="00253A2E"/>
    <w:rsid w:val="002844EF"/>
    <w:rsid w:val="0029634D"/>
    <w:rsid w:val="002E765F"/>
    <w:rsid w:val="002F108B"/>
    <w:rsid w:val="0034191A"/>
    <w:rsid w:val="00343CC7"/>
    <w:rsid w:val="00384A08"/>
    <w:rsid w:val="003A753A"/>
    <w:rsid w:val="003E1CB6"/>
    <w:rsid w:val="003E3CF6"/>
    <w:rsid w:val="003E759F"/>
    <w:rsid w:val="00403373"/>
    <w:rsid w:val="00406C81"/>
    <w:rsid w:val="00412545"/>
    <w:rsid w:val="00430BB0"/>
    <w:rsid w:val="00463D7D"/>
    <w:rsid w:val="004708C7"/>
    <w:rsid w:val="00476F4D"/>
    <w:rsid w:val="00506409"/>
    <w:rsid w:val="00530E32"/>
    <w:rsid w:val="005711A3"/>
    <w:rsid w:val="00573B2B"/>
    <w:rsid w:val="005A4F04"/>
    <w:rsid w:val="005B3697"/>
    <w:rsid w:val="005B5793"/>
    <w:rsid w:val="006330A2"/>
    <w:rsid w:val="00642EB6"/>
    <w:rsid w:val="006B73C9"/>
    <w:rsid w:val="006F7602"/>
    <w:rsid w:val="00722A17"/>
    <w:rsid w:val="00733646"/>
    <w:rsid w:val="00757B83"/>
    <w:rsid w:val="007658CA"/>
    <w:rsid w:val="00791A69"/>
    <w:rsid w:val="00794830"/>
    <w:rsid w:val="00797CAA"/>
    <w:rsid w:val="007C2658"/>
    <w:rsid w:val="007E20D0"/>
    <w:rsid w:val="00820315"/>
    <w:rsid w:val="00833A1C"/>
    <w:rsid w:val="00843B45"/>
    <w:rsid w:val="00847049"/>
    <w:rsid w:val="00863129"/>
    <w:rsid w:val="008C2DB2"/>
    <w:rsid w:val="008D4AE7"/>
    <w:rsid w:val="008D770E"/>
    <w:rsid w:val="0090337E"/>
    <w:rsid w:val="009A7E90"/>
    <w:rsid w:val="009C2378"/>
    <w:rsid w:val="009D016F"/>
    <w:rsid w:val="009E251D"/>
    <w:rsid w:val="00A171F4"/>
    <w:rsid w:val="00A24EFC"/>
    <w:rsid w:val="00A62681"/>
    <w:rsid w:val="00A80677"/>
    <w:rsid w:val="00A977CE"/>
    <w:rsid w:val="00AD131F"/>
    <w:rsid w:val="00AF3B3A"/>
    <w:rsid w:val="00AF6569"/>
    <w:rsid w:val="00B06265"/>
    <w:rsid w:val="00B5695F"/>
    <w:rsid w:val="00B90F78"/>
    <w:rsid w:val="00BD1058"/>
    <w:rsid w:val="00BF56B2"/>
    <w:rsid w:val="00C03396"/>
    <w:rsid w:val="00C1451A"/>
    <w:rsid w:val="00C457C3"/>
    <w:rsid w:val="00C644CA"/>
    <w:rsid w:val="00C73005"/>
    <w:rsid w:val="00CF36C9"/>
    <w:rsid w:val="00D166AC"/>
    <w:rsid w:val="00E14608"/>
    <w:rsid w:val="00E21E67"/>
    <w:rsid w:val="00E30EBF"/>
    <w:rsid w:val="00E52D70"/>
    <w:rsid w:val="00E55534"/>
    <w:rsid w:val="00E914D1"/>
    <w:rsid w:val="00F20920"/>
    <w:rsid w:val="00F45CFC"/>
    <w:rsid w:val="00F56318"/>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F45CFC"/>
    <w:rPr>
      <w:rFonts w:ascii="Verdana" w:eastAsia="Verdana" w:hAnsi="Verdana" w:cs="Times New Roman"/>
      <w:lang w:val="fr-FR"/>
    </w:rPr>
  </w:style>
  <w:style w:type="paragraph" w:styleId="berschrift1">
    <w:name w:val="heading 1"/>
    <w:basedOn w:val="Standard"/>
    <w:next w:val="Text"/>
    <w:link w:val="berschrift1Zchn"/>
    <w:uiPriority w:val="99"/>
    <w:qFormat/>
    <w:rsid w:val="00A171F4"/>
    <w:pPr>
      <w:keepNext/>
      <w:keepLines/>
      <w:spacing w:before="120" w:after="120" w:line="440" w:lineRule="exact"/>
      <w:jc w:val="both"/>
      <w:outlineLvl w:val="0"/>
    </w:pPr>
    <w:rPr>
      <w:rFonts w:asciiTheme="minorHAnsi" w:eastAsiaTheme="majorEastAsia" w:hAnsiTheme="minorHAnsi" w:cstheme="majorBidi"/>
      <w:b/>
      <w:sz w:val="40"/>
      <w:szCs w:val="32"/>
      <w:lang w:val="de-DE"/>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lang w:val="de-DE"/>
    </w:rPr>
  </w:style>
  <w:style w:type="paragraph" w:styleId="berschrift3">
    <w:name w:val="heading 3"/>
    <w:basedOn w:val="Standard"/>
    <w:next w:val="Text"/>
    <w:link w:val="berschrift3Zchn"/>
    <w:uiPriority w:val="99"/>
    <w:qFormat/>
    <w:rsid w:val="002E765F"/>
    <w:pPr>
      <w:keepNext/>
      <w:keepLines/>
      <w:spacing w:before="120" w:after="120" w:line="240" w:lineRule="exact"/>
      <w:jc w:val="both"/>
      <w:outlineLvl w:val="2"/>
    </w:pPr>
    <w:rPr>
      <w:rFonts w:asciiTheme="majorHAnsi" w:eastAsiaTheme="majorEastAsia" w:hAnsiTheme="majorHAnsi" w:cstheme="majorBidi"/>
      <w:b/>
      <w:sz w:val="20"/>
      <w:szCs w:val="24"/>
      <w:lang w:val="de-DE"/>
    </w:rPr>
  </w:style>
  <w:style w:type="paragraph" w:styleId="berschrift4">
    <w:name w:val="heading 4"/>
    <w:basedOn w:val="Standard"/>
    <w:next w:val="Text"/>
    <w:link w:val="berschrift4Zchn"/>
    <w:uiPriority w:val="99"/>
    <w:qFormat/>
    <w:rsid w:val="002E765F"/>
    <w:pPr>
      <w:keepNext/>
      <w:keepLines/>
      <w:spacing w:before="120" w:after="120" w:line="220" w:lineRule="exact"/>
      <w:jc w:val="both"/>
      <w:outlineLvl w:val="3"/>
    </w:pPr>
    <w:rPr>
      <w:rFonts w:asciiTheme="majorHAnsi" w:eastAsiaTheme="majorEastAsia" w:hAnsiTheme="majorHAnsi" w:cstheme="majorBidi"/>
      <w:iCs/>
      <w:sz w:val="18"/>
      <w:szCs w:val="20"/>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rPr>
      <w:rFonts w:asciiTheme="minorHAnsi" w:eastAsiaTheme="minorHAnsi" w:hAnsiTheme="minorHAnsi" w:cstheme="minorBidi"/>
      <w:lang w:val="de-DE"/>
    </w:r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rFonts w:asciiTheme="minorHAnsi" w:eastAsiaTheme="minorHAnsi" w:hAnsiTheme="minorHAnsi" w:cstheme="minorBidi"/>
      <w:color w:val="41535D" w:themeColor="text2"/>
      <w:sz w:val="18"/>
      <w:lang w:val="de-DE"/>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eastAsiaTheme="minorHAnsi" w:hAnsi="Tahoma" w:cs="Tahoma"/>
      <w:lang w:val="de-DE"/>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lang w:val="de-DE"/>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99"/>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lang w:val="de-DE"/>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rFonts w:asciiTheme="minorHAnsi" w:eastAsiaTheme="minorHAnsi" w:hAnsiTheme="minorHAnsi" w:cstheme="minorBidi"/>
      <w:b/>
      <w:sz w:val="24"/>
      <w:lang w:val="de-DE"/>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rPr>
      <w:rFonts w:asciiTheme="minorHAnsi" w:eastAsiaTheme="minorHAnsi" w:hAnsiTheme="minorHAnsi" w:cstheme="minorBidi"/>
      <w:lang w:val="de-DE"/>
    </w:rPr>
  </w:style>
  <w:style w:type="paragraph" w:customStyle="1" w:styleId="Kolumnentitel">
    <w:name w:val="Kolumnentitel"/>
    <w:basedOn w:val="Standard"/>
    <w:uiPriority w:val="19"/>
    <w:qFormat/>
    <w:rsid w:val="00B90F78"/>
    <w:rPr>
      <w:rFonts w:asciiTheme="minorHAnsi" w:eastAsiaTheme="minorHAnsi" w:hAnsiTheme="minorHAnsi" w:cstheme="minorBidi"/>
      <w:caps/>
      <w:sz w:val="14"/>
      <w:lang w:val="de-DE"/>
    </w:rPr>
  </w:style>
  <w:style w:type="paragraph" w:customStyle="1" w:styleId="Seitenzahlen">
    <w:name w:val="Seitenzahlen"/>
    <w:basedOn w:val="Standard"/>
    <w:uiPriority w:val="19"/>
    <w:qFormat/>
    <w:rsid w:val="00722A17"/>
    <w:pPr>
      <w:jc w:val="right"/>
    </w:pPr>
    <w:rPr>
      <w:rFonts w:asciiTheme="minorHAnsi" w:eastAsiaTheme="minorHAnsi" w:hAnsiTheme="minorHAnsi" w:cstheme="minorBidi"/>
      <w:caps/>
      <w:sz w:val="14"/>
      <w:lang w:val="de-DE"/>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rFonts w:asciiTheme="minorHAnsi" w:eastAsiaTheme="minorHAnsi" w:hAnsiTheme="minorHAnsi" w:cstheme="minorBidi"/>
      <w:sz w:val="22"/>
      <w:lang w:val="de-DE"/>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rFonts w:asciiTheme="minorHAnsi" w:eastAsiaTheme="minorHAnsi" w:hAnsiTheme="minorHAnsi" w:cstheme="minorBidi"/>
      <w:sz w:val="22"/>
      <w:lang w:val="de-DE"/>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rFonts w:asciiTheme="minorHAnsi" w:eastAsiaTheme="minorHAnsi" w:hAnsiTheme="minorHAnsi" w:cstheme="minorBidi"/>
      <w:sz w:val="22"/>
      <w:lang w:val="de-DE"/>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rFonts w:asciiTheme="minorHAnsi" w:eastAsiaTheme="minorHAnsi" w:hAnsiTheme="minorHAnsi" w:cstheme="minorBidi"/>
      <w:sz w:val="22"/>
      <w:lang w:val="de-DE"/>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rFonts w:asciiTheme="minorHAnsi" w:eastAsiaTheme="minorHAnsi" w:hAnsiTheme="minorHAnsi" w:cstheme="minorBidi"/>
      <w:sz w:val="18"/>
      <w:lang w:val="de-DE"/>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rFonts w:asciiTheme="minorHAnsi" w:eastAsiaTheme="minorHAnsi" w:hAnsiTheme="minorHAnsi" w:cstheme="minorBidi"/>
      <w:bCs/>
      <w:color w:val="41535D" w:themeColor="text1"/>
      <w:szCs w:val="18"/>
      <w:lang w:val="de-DE"/>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rFonts w:asciiTheme="minorHAnsi" w:eastAsiaTheme="minorHAnsi" w:hAnsiTheme="minorHAnsi" w:cstheme="minorBidi"/>
      <w:b/>
      <w:sz w:val="22"/>
      <w:lang w:val="de-DE"/>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rFonts w:asciiTheme="minorHAnsi" w:eastAsiaTheme="minorHAnsi" w:hAnsiTheme="minorHAnsi" w:cstheme="minorBidi"/>
      <w:b/>
      <w:sz w:val="19"/>
      <w:lang w:val="de-DE"/>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rPr>
      <w:rFonts w:asciiTheme="minorHAnsi" w:eastAsiaTheme="minorHAnsi" w:hAnsiTheme="minorHAnsi" w:cstheme="minorBidi"/>
      <w:lang w:val="de-DE"/>
    </w:r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99"/>
    <w:qFormat/>
    <w:rsid w:val="009D016F"/>
    <w:pPr>
      <w:pBdr>
        <w:bottom w:val="single" w:sz="4" w:space="1" w:color="auto"/>
      </w:pBdr>
      <w:spacing w:after="260" w:line="276" w:lineRule="auto"/>
      <w:contextualSpacing/>
    </w:pPr>
    <w:rPr>
      <w:rFonts w:asciiTheme="minorHAnsi" w:eastAsiaTheme="minorHAnsi" w:hAnsiTheme="minorHAnsi" w:cstheme="minorBidi"/>
      <w:b/>
      <w:caps/>
      <w:sz w:val="22"/>
      <w:lang w:val="de-DE"/>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F45CFC"/>
    <w:rPr>
      <w:rFonts w:ascii="Verdana" w:eastAsia="Verdana" w:hAnsi="Verdana" w:cs="Times New Roman"/>
      <w:lang w:val="fr-FR"/>
    </w:rPr>
  </w:style>
  <w:style w:type="paragraph" w:styleId="berschrift1">
    <w:name w:val="heading 1"/>
    <w:basedOn w:val="Standard"/>
    <w:next w:val="Text"/>
    <w:link w:val="berschrift1Zchn"/>
    <w:uiPriority w:val="99"/>
    <w:qFormat/>
    <w:rsid w:val="00A171F4"/>
    <w:pPr>
      <w:keepNext/>
      <w:keepLines/>
      <w:spacing w:before="120" w:after="120" w:line="440" w:lineRule="exact"/>
      <w:jc w:val="both"/>
      <w:outlineLvl w:val="0"/>
    </w:pPr>
    <w:rPr>
      <w:rFonts w:asciiTheme="minorHAnsi" w:eastAsiaTheme="majorEastAsia" w:hAnsiTheme="minorHAnsi" w:cstheme="majorBidi"/>
      <w:b/>
      <w:sz w:val="40"/>
      <w:szCs w:val="32"/>
      <w:lang w:val="de-DE"/>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lang w:val="de-DE"/>
    </w:rPr>
  </w:style>
  <w:style w:type="paragraph" w:styleId="berschrift3">
    <w:name w:val="heading 3"/>
    <w:basedOn w:val="Standard"/>
    <w:next w:val="Text"/>
    <w:link w:val="berschrift3Zchn"/>
    <w:uiPriority w:val="99"/>
    <w:qFormat/>
    <w:rsid w:val="002E765F"/>
    <w:pPr>
      <w:keepNext/>
      <w:keepLines/>
      <w:spacing w:before="120" w:after="120" w:line="240" w:lineRule="exact"/>
      <w:jc w:val="both"/>
      <w:outlineLvl w:val="2"/>
    </w:pPr>
    <w:rPr>
      <w:rFonts w:asciiTheme="majorHAnsi" w:eastAsiaTheme="majorEastAsia" w:hAnsiTheme="majorHAnsi" w:cstheme="majorBidi"/>
      <w:b/>
      <w:sz w:val="20"/>
      <w:szCs w:val="24"/>
      <w:lang w:val="de-DE"/>
    </w:rPr>
  </w:style>
  <w:style w:type="paragraph" w:styleId="berschrift4">
    <w:name w:val="heading 4"/>
    <w:basedOn w:val="Standard"/>
    <w:next w:val="Text"/>
    <w:link w:val="berschrift4Zchn"/>
    <w:uiPriority w:val="99"/>
    <w:qFormat/>
    <w:rsid w:val="002E765F"/>
    <w:pPr>
      <w:keepNext/>
      <w:keepLines/>
      <w:spacing w:before="120" w:after="120" w:line="220" w:lineRule="exact"/>
      <w:jc w:val="both"/>
      <w:outlineLvl w:val="3"/>
    </w:pPr>
    <w:rPr>
      <w:rFonts w:asciiTheme="majorHAnsi" w:eastAsiaTheme="majorEastAsia" w:hAnsiTheme="majorHAnsi" w:cstheme="majorBidi"/>
      <w:iCs/>
      <w:sz w:val="18"/>
      <w:szCs w:val="20"/>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rPr>
      <w:rFonts w:asciiTheme="minorHAnsi" w:eastAsiaTheme="minorHAnsi" w:hAnsiTheme="minorHAnsi" w:cstheme="minorBidi"/>
      <w:lang w:val="de-DE"/>
    </w:r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rFonts w:asciiTheme="minorHAnsi" w:eastAsiaTheme="minorHAnsi" w:hAnsiTheme="minorHAnsi" w:cstheme="minorBidi"/>
      <w:color w:val="41535D" w:themeColor="text2"/>
      <w:sz w:val="18"/>
      <w:lang w:val="de-DE"/>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eastAsiaTheme="minorHAnsi" w:hAnsi="Tahoma" w:cs="Tahoma"/>
      <w:lang w:val="de-DE"/>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lang w:val="de-DE"/>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99"/>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lang w:val="de-DE"/>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rFonts w:asciiTheme="minorHAnsi" w:eastAsiaTheme="minorHAnsi" w:hAnsiTheme="minorHAnsi" w:cstheme="minorBidi"/>
      <w:b/>
      <w:sz w:val="24"/>
      <w:lang w:val="de-DE"/>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rPr>
      <w:rFonts w:asciiTheme="minorHAnsi" w:eastAsiaTheme="minorHAnsi" w:hAnsiTheme="minorHAnsi" w:cstheme="minorBidi"/>
      <w:lang w:val="de-DE"/>
    </w:rPr>
  </w:style>
  <w:style w:type="paragraph" w:customStyle="1" w:styleId="Kolumnentitel">
    <w:name w:val="Kolumnentitel"/>
    <w:basedOn w:val="Standard"/>
    <w:uiPriority w:val="19"/>
    <w:qFormat/>
    <w:rsid w:val="00B90F78"/>
    <w:rPr>
      <w:rFonts w:asciiTheme="minorHAnsi" w:eastAsiaTheme="minorHAnsi" w:hAnsiTheme="minorHAnsi" w:cstheme="minorBidi"/>
      <w:caps/>
      <w:sz w:val="14"/>
      <w:lang w:val="de-DE"/>
    </w:rPr>
  </w:style>
  <w:style w:type="paragraph" w:customStyle="1" w:styleId="Seitenzahlen">
    <w:name w:val="Seitenzahlen"/>
    <w:basedOn w:val="Standard"/>
    <w:uiPriority w:val="19"/>
    <w:qFormat/>
    <w:rsid w:val="00722A17"/>
    <w:pPr>
      <w:jc w:val="right"/>
    </w:pPr>
    <w:rPr>
      <w:rFonts w:asciiTheme="minorHAnsi" w:eastAsiaTheme="minorHAnsi" w:hAnsiTheme="minorHAnsi" w:cstheme="minorBidi"/>
      <w:caps/>
      <w:sz w:val="14"/>
      <w:lang w:val="de-DE"/>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rFonts w:asciiTheme="minorHAnsi" w:eastAsiaTheme="minorHAnsi" w:hAnsiTheme="minorHAnsi" w:cstheme="minorBidi"/>
      <w:sz w:val="22"/>
      <w:lang w:val="de-DE"/>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rFonts w:asciiTheme="minorHAnsi" w:eastAsiaTheme="minorHAnsi" w:hAnsiTheme="minorHAnsi" w:cstheme="minorBidi"/>
      <w:sz w:val="22"/>
      <w:lang w:val="de-DE"/>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rFonts w:asciiTheme="minorHAnsi" w:eastAsiaTheme="minorHAnsi" w:hAnsiTheme="minorHAnsi" w:cstheme="minorBidi"/>
      <w:sz w:val="22"/>
      <w:lang w:val="de-DE"/>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rFonts w:asciiTheme="minorHAnsi" w:eastAsiaTheme="minorHAnsi" w:hAnsiTheme="minorHAnsi" w:cstheme="minorBidi"/>
      <w:sz w:val="22"/>
      <w:lang w:val="de-DE"/>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rFonts w:asciiTheme="minorHAnsi" w:eastAsiaTheme="minorHAnsi" w:hAnsiTheme="minorHAnsi" w:cstheme="minorBidi"/>
      <w:sz w:val="18"/>
      <w:lang w:val="de-DE"/>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rFonts w:asciiTheme="minorHAnsi" w:eastAsiaTheme="minorHAnsi" w:hAnsiTheme="minorHAnsi" w:cstheme="minorBidi"/>
      <w:bCs/>
      <w:color w:val="41535D" w:themeColor="text1"/>
      <w:szCs w:val="18"/>
      <w:lang w:val="de-DE"/>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rFonts w:asciiTheme="minorHAnsi" w:eastAsiaTheme="minorHAnsi" w:hAnsiTheme="minorHAnsi" w:cstheme="minorBidi"/>
      <w:b/>
      <w:sz w:val="22"/>
      <w:lang w:val="de-DE"/>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rFonts w:asciiTheme="minorHAnsi" w:eastAsiaTheme="minorHAnsi" w:hAnsiTheme="minorHAnsi" w:cstheme="minorBidi"/>
      <w:b/>
      <w:sz w:val="19"/>
      <w:lang w:val="de-DE"/>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rPr>
      <w:rFonts w:asciiTheme="minorHAnsi" w:eastAsiaTheme="minorHAnsi" w:hAnsiTheme="minorHAnsi" w:cstheme="minorBidi"/>
      <w:lang w:val="de-DE"/>
    </w:r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99"/>
    <w:qFormat/>
    <w:rsid w:val="009D016F"/>
    <w:pPr>
      <w:pBdr>
        <w:bottom w:val="single" w:sz="4" w:space="1" w:color="auto"/>
      </w:pBdr>
      <w:spacing w:after="260" w:line="276" w:lineRule="auto"/>
      <w:contextualSpacing/>
    </w:pPr>
    <w:rPr>
      <w:rFonts w:asciiTheme="minorHAnsi" w:eastAsiaTheme="minorHAnsi" w:hAnsiTheme="minorHAnsi" w:cstheme="minorBidi"/>
      <w:b/>
      <w:caps/>
      <w:sz w:val="22"/>
      <w:lang w:val="de-DE"/>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2" Type="http://schemas.openxmlformats.org/officeDocument/2006/relationships/image" Target="media/image13.wmf"/><Relationship Id="rId1" Type="http://schemas.openxmlformats.org/officeDocument/2006/relationships/image" Target="media/image12.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mbH_Vorlage_neu.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938B4-AFBC-45D3-B855-286F52266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GmbH_Vorlage_neu.dotx</Template>
  <TotalTime>0</TotalTime>
  <Pages>6</Pages>
  <Words>1420</Words>
  <Characters>8946</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10346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6</cp:revision>
  <dcterms:created xsi:type="dcterms:W3CDTF">2018-02-22T07:31:00Z</dcterms:created>
  <dcterms:modified xsi:type="dcterms:W3CDTF">2018-03-20T13:17:00Z</dcterms:modified>
</cp:coreProperties>
</file>